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735B" w:rsidRDefault="00CB735B">
      <w:pPr>
        <w:ind w:firstLineChars="0" w:firstLine="0"/>
        <w:jc w:val="center"/>
        <w:rPr>
          <w:rFonts w:ascii="方正大标宋简体" w:eastAsia="方正大标宋简体" w:cs="Times New Roman"/>
          <w:sz w:val="36"/>
          <w:szCs w:val="36"/>
        </w:rPr>
      </w:pPr>
    </w:p>
    <w:p w:rsidR="00CB735B" w:rsidRDefault="002367A7">
      <w:pPr>
        <w:ind w:firstLineChars="0" w:firstLine="0"/>
        <w:jc w:val="center"/>
        <w:rPr>
          <w:rFonts w:ascii="方正大标宋简体" w:eastAsia="方正大标宋简体" w:cs="Times New Roman"/>
          <w:sz w:val="36"/>
          <w:szCs w:val="36"/>
        </w:rPr>
      </w:pPr>
      <w:r>
        <w:rPr>
          <w:rFonts w:ascii="方正大标宋简体" w:eastAsia="方正大标宋简体" w:cs="Times New Roman" w:hint="eastAsia"/>
          <w:sz w:val="36"/>
          <w:szCs w:val="36"/>
        </w:rPr>
        <w:t>《证券期货行业自律组织投资者保护报告》简介</w:t>
      </w:r>
    </w:p>
    <w:p w:rsidR="00CB735B" w:rsidRDefault="00CB735B">
      <w:pPr>
        <w:ind w:firstLine="600"/>
        <w:rPr>
          <w:rFonts w:cs="Times New Roman"/>
        </w:rPr>
      </w:pPr>
    </w:p>
    <w:p w:rsidR="00CB735B" w:rsidRDefault="002367A7">
      <w:pPr>
        <w:ind w:firstLine="600"/>
        <w:rPr>
          <w:rFonts w:cs="Times New Roman"/>
        </w:rPr>
      </w:pPr>
      <w:r>
        <w:rPr>
          <w:rFonts w:cs="Times New Roman"/>
        </w:rPr>
        <w:t>《</w:t>
      </w:r>
      <w:r>
        <w:rPr>
          <w:rFonts w:cs="Times New Roman" w:hint="eastAsia"/>
        </w:rPr>
        <w:t>证券期货行业自律组织投资者保护报告（</w:t>
      </w:r>
      <w:r>
        <w:rPr>
          <w:rFonts w:cs="Times New Roman" w:hint="eastAsia"/>
        </w:rPr>
        <w:t>2021</w:t>
      </w:r>
      <w:r>
        <w:rPr>
          <w:rFonts w:cs="Times New Roman" w:hint="eastAsia"/>
        </w:rPr>
        <w:t>）</w:t>
      </w:r>
      <w:r>
        <w:rPr>
          <w:rFonts w:cs="Times New Roman"/>
        </w:rPr>
        <w:t>》（简称《报告》）</w:t>
      </w:r>
      <w:r>
        <w:rPr>
          <w:rFonts w:cs="Times New Roman" w:hint="eastAsia"/>
        </w:rPr>
        <w:t>包含</w:t>
      </w:r>
      <w:r>
        <w:rPr>
          <w:rFonts w:cs="Times New Roman"/>
        </w:rPr>
        <w:t>引言、年度</w:t>
      </w:r>
      <w:r>
        <w:rPr>
          <w:rFonts w:cs="Times New Roman" w:hint="eastAsia"/>
        </w:rPr>
        <w:t>自律组织投资者保护</w:t>
      </w:r>
      <w:r>
        <w:rPr>
          <w:rFonts w:cs="Times New Roman"/>
        </w:rPr>
        <w:t>概况、</w:t>
      </w:r>
      <w:r>
        <w:rPr>
          <w:rFonts w:cs="Times New Roman" w:hint="eastAsia"/>
        </w:rPr>
        <w:t>各自律组织投资者保护情况、建议、</w:t>
      </w:r>
      <w:r>
        <w:rPr>
          <w:rFonts w:cs="Times New Roman"/>
        </w:rPr>
        <w:t>附录</w:t>
      </w:r>
      <w:r>
        <w:rPr>
          <w:rFonts w:cs="Times New Roman" w:hint="eastAsia"/>
        </w:rPr>
        <w:t>共五个部分十三章，并附</w:t>
      </w:r>
      <w:r>
        <w:rPr>
          <w:rFonts w:cs="Times New Roman"/>
        </w:rPr>
        <w:t>各自律组织</w:t>
      </w:r>
      <w:r>
        <w:rPr>
          <w:rFonts w:cs="Times New Roman" w:hint="eastAsia"/>
        </w:rPr>
        <w:t>职责、</w:t>
      </w:r>
      <w:r>
        <w:rPr>
          <w:rFonts w:cs="Times New Roman"/>
        </w:rPr>
        <w:t>投资者服</w:t>
      </w:r>
      <w:bookmarkStart w:id="0" w:name="_GoBack"/>
      <w:bookmarkEnd w:id="0"/>
      <w:r>
        <w:rPr>
          <w:rFonts w:cs="Times New Roman"/>
        </w:rPr>
        <w:t>务信息、典型案例等</w:t>
      </w:r>
      <w:r>
        <w:rPr>
          <w:rFonts w:cs="Times New Roman" w:hint="eastAsia"/>
        </w:rPr>
        <w:t>，共计</w:t>
      </w:r>
      <w:r>
        <w:rPr>
          <w:rFonts w:cs="Times New Roman" w:hint="eastAsia"/>
        </w:rPr>
        <w:t>7.5</w:t>
      </w:r>
      <w:r>
        <w:rPr>
          <w:rFonts w:cs="Times New Roman" w:hint="eastAsia"/>
        </w:rPr>
        <w:t>万字。</w:t>
      </w:r>
      <w:r>
        <w:rPr>
          <w:rFonts w:cs="Times New Roman"/>
        </w:rPr>
        <w:t>《报告》</w:t>
      </w:r>
      <w:r>
        <w:rPr>
          <w:rFonts w:cs="Times New Roman" w:hint="eastAsia"/>
        </w:rPr>
        <w:t>以</w:t>
      </w:r>
      <w:r>
        <w:rPr>
          <w:rFonts w:cs="Times New Roman"/>
        </w:rPr>
        <w:t>年度</w:t>
      </w:r>
      <w:r>
        <w:rPr>
          <w:rFonts w:cs="Times New Roman" w:hint="eastAsia"/>
        </w:rPr>
        <w:t>为周期，力求全面、准确、客观展示我国证券期货行业自律组织投资者保护工作成效，重点反映了我国</w:t>
      </w:r>
      <w:r>
        <w:rPr>
          <w:rFonts w:cs="Times New Roman"/>
        </w:rPr>
        <w:t>自律组织</w:t>
      </w:r>
      <w:r>
        <w:rPr>
          <w:rFonts w:cs="Times New Roman" w:hint="eastAsia"/>
        </w:rPr>
        <w:t>2020</w:t>
      </w:r>
      <w:r>
        <w:rPr>
          <w:rFonts w:cs="Times New Roman" w:hint="eastAsia"/>
        </w:rPr>
        <w:t>年度</w:t>
      </w:r>
      <w:r>
        <w:rPr>
          <w:rFonts w:cs="Times New Roman"/>
        </w:rPr>
        <w:t>在完善业务规则和行业自律规则、履行自律管理职责、自主和引导会员开展投资者教育</w:t>
      </w:r>
      <w:r>
        <w:rPr>
          <w:rFonts w:cs="Times New Roman" w:hint="eastAsia"/>
        </w:rPr>
        <w:t>工作</w:t>
      </w:r>
      <w:r>
        <w:rPr>
          <w:rFonts w:cs="Times New Roman"/>
        </w:rPr>
        <w:t>、推进证券</w:t>
      </w:r>
      <w:r>
        <w:rPr>
          <w:rFonts w:cs="Times New Roman" w:hint="eastAsia"/>
        </w:rPr>
        <w:t>期货</w:t>
      </w:r>
      <w:r>
        <w:rPr>
          <w:rFonts w:cs="Times New Roman"/>
        </w:rPr>
        <w:t>纠纷调解和投资者诉求处理</w:t>
      </w:r>
      <w:r>
        <w:rPr>
          <w:rFonts w:cs="Times New Roman" w:hint="eastAsia"/>
        </w:rPr>
        <w:t>、服务实体经济和维护市场稳定</w:t>
      </w:r>
      <w:r>
        <w:rPr>
          <w:rFonts w:cs="Times New Roman"/>
        </w:rPr>
        <w:t>等方面</w:t>
      </w:r>
      <w:r>
        <w:rPr>
          <w:rFonts w:cs="Times New Roman" w:hint="eastAsia"/>
        </w:rPr>
        <w:t>的工作情况和效果，以期为社会各界了解自律组织投资者保护成效提供窗口，</w:t>
      </w:r>
      <w:r>
        <w:rPr>
          <w:rFonts w:ascii="仿宋" w:hAnsi="仿宋" w:hint="eastAsia"/>
          <w:bCs/>
          <w:szCs w:val="32"/>
        </w:rPr>
        <w:t>促进</w:t>
      </w:r>
      <w:r>
        <w:rPr>
          <w:rFonts w:ascii="仿宋" w:hAnsi="仿宋"/>
          <w:bCs/>
          <w:szCs w:val="32"/>
        </w:rPr>
        <w:t>提升我国证券期货投资者自律保护水平。</w:t>
      </w:r>
    </w:p>
    <w:p w:rsidR="00CB735B" w:rsidRDefault="002367A7">
      <w:pPr>
        <w:ind w:firstLine="600"/>
        <w:rPr>
          <w:rFonts w:cs="Times New Roman"/>
        </w:rPr>
      </w:pPr>
      <w:r>
        <w:rPr>
          <w:rFonts w:cs="Times New Roman"/>
        </w:rPr>
        <w:t>《报告》</w:t>
      </w:r>
      <w:r>
        <w:rPr>
          <w:rFonts w:cs="Times New Roman" w:hint="eastAsia"/>
        </w:rPr>
        <w:t>的主要结论</w:t>
      </w:r>
      <w:r>
        <w:rPr>
          <w:rFonts w:cs="Times New Roman"/>
        </w:rPr>
        <w:t>有：</w:t>
      </w:r>
      <w:r>
        <w:rPr>
          <w:rFonts w:cs="Times New Roman" w:hint="eastAsia"/>
        </w:rPr>
        <w:t>一是</w:t>
      </w:r>
      <w:r>
        <w:rPr>
          <w:rFonts w:cs="Times New Roman"/>
        </w:rPr>
        <w:t>投资者保护制度</w:t>
      </w:r>
      <w:r>
        <w:rPr>
          <w:rFonts w:cs="Times New Roman" w:hint="eastAsia"/>
        </w:rPr>
        <w:t>体系建设不断趋于完善，</w:t>
      </w:r>
      <w:r>
        <w:rPr>
          <w:rFonts w:cs="Times New Roman" w:hint="eastAsia"/>
        </w:rPr>
        <w:t>2020</w:t>
      </w:r>
      <w:r>
        <w:rPr>
          <w:rFonts w:cs="Times New Roman" w:hint="eastAsia"/>
        </w:rPr>
        <w:t>年度</w:t>
      </w:r>
      <w:proofErr w:type="gramStart"/>
      <w:r>
        <w:rPr>
          <w:rFonts w:cs="Times New Roman" w:hint="eastAsia"/>
        </w:rPr>
        <w:t>各自律组织</w:t>
      </w:r>
      <w:proofErr w:type="gramEnd"/>
      <w:r>
        <w:rPr>
          <w:rFonts w:cs="Times New Roman" w:hint="eastAsia"/>
        </w:rPr>
        <w:t>制定修订规则</w:t>
      </w:r>
      <w:r>
        <w:rPr>
          <w:rFonts w:cs="Times New Roman" w:hint="eastAsia"/>
        </w:rPr>
        <w:t>341</w:t>
      </w:r>
      <w:r>
        <w:rPr>
          <w:rFonts w:cs="Times New Roman" w:hint="eastAsia"/>
        </w:rPr>
        <w:t>件，较</w:t>
      </w:r>
      <w:r>
        <w:rPr>
          <w:rFonts w:cs="Times New Roman" w:hint="eastAsia"/>
        </w:rPr>
        <w:t>2019</w:t>
      </w:r>
      <w:r>
        <w:rPr>
          <w:rFonts w:cs="Times New Roman" w:hint="eastAsia"/>
        </w:rPr>
        <w:t>年度（</w:t>
      </w:r>
      <w:r>
        <w:rPr>
          <w:rFonts w:cs="Times New Roman" w:hint="eastAsia"/>
        </w:rPr>
        <w:t>281</w:t>
      </w:r>
      <w:r>
        <w:rPr>
          <w:rFonts w:cs="Times New Roman" w:hint="eastAsia"/>
        </w:rPr>
        <w:t>）增加</w:t>
      </w:r>
      <w:r>
        <w:rPr>
          <w:rFonts w:cs="Times New Roman" w:hint="eastAsia"/>
        </w:rPr>
        <w:t>60</w:t>
      </w:r>
      <w:r>
        <w:rPr>
          <w:rFonts w:cs="Times New Roman" w:hint="eastAsia"/>
        </w:rPr>
        <w:t>件，较</w:t>
      </w:r>
      <w:r>
        <w:rPr>
          <w:rFonts w:cs="Times New Roman" w:hint="eastAsia"/>
        </w:rPr>
        <w:t>2018</w:t>
      </w:r>
      <w:r>
        <w:rPr>
          <w:rFonts w:cs="Times New Roman" w:hint="eastAsia"/>
        </w:rPr>
        <w:t>年度（</w:t>
      </w:r>
      <w:r>
        <w:rPr>
          <w:rFonts w:cs="Times New Roman" w:hint="eastAsia"/>
        </w:rPr>
        <w:t>227</w:t>
      </w:r>
      <w:r>
        <w:rPr>
          <w:rFonts w:cs="Times New Roman" w:hint="eastAsia"/>
        </w:rPr>
        <w:t>）增加</w:t>
      </w:r>
      <w:r>
        <w:rPr>
          <w:rFonts w:cs="Times New Roman" w:hint="eastAsia"/>
        </w:rPr>
        <w:t>114</w:t>
      </w:r>
      <w:r>
        <w:rPr>
          <w:rFonts w:cs="Times New Roman" w:hint="eastAsia"/>
        </w:rPr>
        <w:t>件；二是上交所、深交所、全国股转公司等自律组织一线监管力度不断加大；三是</w:t>
      </w:r>
      <w:r>
        <w:rPr>
          <w:rFonts w:cs="Times New Roman"/>
        </w:rPr>
        <w:t>受疫情影响，自律组织</w:t>
      </w:r>
      <w:proofErr w:type="gramStart"/>
      <w:r>
        <w:rPr>
          <w:rFonts w:cs="Times New Roman"/>
        </w:rPr>
        <w:t>投教形式</w:t>
      </w:r>
      <w:proofErr w:type="gramEnd"/>
      <w:r>
        <w:rPr>
          <w:rFonts w:cs="Times New Roman"/>
        </w:rPr>
        <w:t>多转为线上方式</w:t>
      </w:r>
      <w:r>
        <w:rPr>
          <w:rFonts w:cs="Times New Roman" w:hint="eastAsia"/>
        </w:rPr>
        <w:t>，</w:t>
      </w:r>
      <w:proofErr w:type="gramStart"/>
      <w:r>
        <w:rPr>
          <w:rFonts w:cs="Times New Roman" w:hint="eastAsia"/>
        </w:rPr>
        <w:t>投教活动</w:t>
      </w:r>
      <w:proofErr w:type="gramEnd"/>
      <w:r>
        <w:rPr>
          <w:rFonts w:cs="Times New Roman" w:hint="eastAsia"/>
        </w:rPr>
        <w:t>场次较上年略有下降，</w:t>
      </w:r>
      <w:proofErr w:type="gramStart"/>
      <w:r>
        <w:rPr>
          <w:rFonts w:cs="Times New Roman"/>
        </w:rPr>
        <w:t>投教产品</w:t>
      </w:r>
      <w:proofErr w:type="gramEnd"/>
      <w:r>
        <w:rPr>
          <w:rFonts w:cs="Times New Roman" w:hint="eastAsia"/>
        </w:rPr>
        <w:t>数量较上年增长</w:t>
      </w:r>
      <w:r>
        <w:rPr>
          <w:rFonts w:cs="Times New Roman" w:hint="eastAsia"/>
        </w:rPr>
        <w:t>20%</w:t>
      </w:r>
      <w:r>
        <w:rPr>
          <w:rFonts w:cs="Times New Roman" w:hint="eastAsia"/>
        </w:rPr>
        <w:t>；四是</w:t>
      </w:r>
      <w:proofErr w:type="gramStart"/>
      <w:r>
        <w:rPr>
          <w:rFonts w:cs="Times New Roman" w:hint="eastAsia"/>
        </w:rPr>
        <w:t>各</w:t>
      </w:r>
      <w:r>
        <w:rPr>
          <w:rFonts w:cs="Times New Roman"/>
        </w:rPr>
        <w:t>自律组织</w:t>
      </w:r>
      <w:proofErr w:type="gramEnd"/>
      <w:r>
        <w:rPr>
          <w:rFonts w:cs="Times New Roman"/>
        </w:rPr>
        <w:t>推动行业畅通投资者诉求处理渠道取得成效，上市公司、证券公司、期货公司、公</w:t>
      </w:r>
      <w:proofErr w:type="gramStart"/>
      <w:r>
        <w:rPr>
          <w:rFonts w:cs="Times New Roman"/>
        </w:rPr>
        <w:t>募基金</w:t>
      </w:r>
      <w:proofErr w:type="gramEnd"/>
      <w:r>
        <w:rPr>
          <w:rFonts w:cs="Times New Roman"/>
        </w:rPr>
        <w:t>管理人等市场主体平均电话</w:t>
      </w:r>
      <w:r>
        <w:rPr>
          <w:rFonts w:cs="Times New Roman"/>
        </w:rPr>
        <w:lastRenderedPageBreak/>
        <w:t>接听率较上年有较大提升</w:t>
      </w:r>
      <w:r>
        <w:rPr>
          <w:rFonts w:cs="Times New Roman" w:hint="eastAsia"/>
        </w:rPr>
        <w:t>，从</w:t>
      </w:r>
      <w:r>
        <w:rPr>
          <w:rFonts w:cs="Times New Roman" w:hint="eastAsia"/>
        </w:rPr>
        <w:t>2020</w:t>
      </w:r>
      <w:r>
        <w:rPr>
          <w:rFonts w:cs="Times New Roman" w:hint="eastAsia"/>
        </w:rPr>
        <w:t>年的</w:t>
      </w:r>
      <w:r>
        <w:rPr>
          <w:rFonts w:cs="Times New Roman" w:hint="eastAsia"/>
        </w:rPr>
        <w:t>79.78%</w:t>
      </w:r>
      <w:r>
        <w:rPr>
          <w:rFonts w:cs="Times New Roman" w:hint="eastAsia"/>
        </w:rPr>
        <w:t>提升至</w:t>
      </w:r>
      <w:r>
        <w:rPr>
          <w:rFonts w:cs="Times New Roman" w:hint="eastAsia"/>
        </w:rPr>
        <w:t>2021</w:t>
      </w:r>
      <w:r>
        <w:rPr>
          <w:rFonts w:cs="Times New Roman" w:hint="eastAsia"/>
        </w:rPr>
        <w:t>年的</w:t>
      </w:r>
      <w:r>
        <w:rPr>
          <w:rFonts w:cs="Times New Roman" w:hint="eastAsia"/>
        </w:rPr>
        <w:t>91.86%</w:t>
      </w:r>
      <w:r>
        <w:rPr>
          <w:rFonts w:cs="Times New Roman" w:hint="eastAsia"/>
        </w:rPr>
        <w:t>；五是</w:t>
      </w:r>
      <w:r>
        <w:rPr>
          <w:rFonts w:cs="Times New Roman"/>
        </w:rPr>
        <w:t>投资者对自律组织投资者权益保护成效满意度有所提升</w:t>
      </w:r>
      <w:r>
        <w:rPr>
          <w:rFonts w:cs="Times New Roman" w:hint="eastAsia"/>
        </w:rPr>
        <w:t>，据投保基金公司证券投资者满意度调查显示，</w:t>
      </w:r>
      <w:r>
        <w:rPr>
          <w:rFonts w:cs="Times New Roman" w:hint="eastAsia"/>
        </w:rPr>
        <w:t>75.4%</w:t>
      </w:r>
      <w:r>
        <w:rPr>
          <w:rFonts w:cs="Times New Roman" w:hint="eastAsia"/>
        </w:rPr>
        <w:t>的受调查投资者对</w:t>
      </w:r>
      <w:r>
        <w:rPr>
          <w:rFonts w:cs="Times New Roman" w:hint="eastAsia"/>
        </w:rPr>
        <w:t>2020</w:t>
      </w:r>
      <w:r>
        <w:rPr>
          <w:rFonts w:cs="Times New Roman" w:hint="eastAsia"/>
        </w:rPr>
        <w:t>年度证券期货行业自律组织投资者权益保护成效表示满意或非常满意，与</w:t>
      </w:r>
      <w:r>
        <w:rPr>
          <w:rFonts w:cs="Times New Roman" w:hint="eastAsia"/>
        </w:rPr>
        <w:t>2019</w:t>
      </w:r>
      <w:r>
        <w:rPr>
          <w:rFonts w:cs="Times New Roman" w:hint="eastAsia"/>
        </w:rPr>
        <w:t>年度相比上升</w:t>
      </w:r>
      <w:r>
        <w:rPr>
          <w:rFonts w:cs="Times New Roman" w:hint="eastAsia"/>
        </w:rPr>
        <w:t>2.4%</w:t>
      </w:r>
      <w:r>
        <w:rPr>
          <w:rFonts w:cs="Times New Roman" w:hint="eastAsia"/>
        </w:rPr>
        <w:t>。</w:t>
      </w:r>
    </w:p>
    <w:p w:rsidR="00CB735B" w:rsidRDefault="002367A7" w:rsidP="0062645C">
      <w:pPr>
        <w:ind w:firstLine="600"/>
        <w:rPr>
          <w:rFonts w:cs="Times New Roman"/>
        </w:rPr>
      </w:pPr>
      <w:r>
        <w:rPr>
          <w:rFonts w:cs="Times New Roman" w:hint="eastAsia"/>
        </w:rPr>
        <w:t>《报告》提出的建议有：一是建议</w:t>
      </w:r>
      <w:r>
        <w:rPr>
          <w:rFonts w:cs="Times New Roman"/>
        </w:rPr>
        <w:t>证券交易所、证券业协会进一步关注投资者保护制度与以《证券法》为核心的法律法规体系的协调性、包容性、公允性、有效性，推动投资者适当性管理、上市公司现金分红、先行赔付、支持诉讼、证券代表人诉讼、欺诈发行责令回购等投保</w:t>
      </w:r>
      <w:proofErr w:type="gramStart"/>
      <w:r>
        <w:rPr>
          <w:rFonts w:cs="Times New Roman"/>
        </w:rPr>
        <w:t>专项制度</w:t>
      </w:r>
      <w:proofErr w:type="gramEnd"/>
      <w:r>
        <w:rPr>
          <w:rFonts w:cs="Times New Roman"/>
        </w:rPr>
        <w:t>落地生根</w:t>
      </w:r>
      <w:r>
        <w:rPr>
          <w:rFonts w:cs="Times New Roman" w:hint="eastAsia"/>
        </w:rPr>
        <w:t>；二是</w:t>
      </w:r>
      <w:r>
        <w:rPr>
          <w:rFonts w:cs="Times New Roman"/>
        </w:rPr>
        <w:t>建议证券交易所</w:t>
      </w:r>
      <w:proofErr w:type="gramStart"/>
      <w:r>
        <w:rPr>
          <w:rFonts w:cs="Times New Roman"/>
        </w:rPr>
        <w:t>进一步压严压实</w:t>
      </w:r>
      <w:proofErr w:type="gramEnd"/>
      <w:r>
        <w:rPr>
          <w:rFonts w:cs="Times New Roman"/>
        </w:rPr>
        <w:t>发行人信息披露责任和中介机构核查把关责任，</w:t>
      </w:r>
      <w:r>
        <w:rPr>
          <w:rFonts w:cs="Times New Roman" w:hint="eastAsia"/>
        </w:rPr>
        <w:t>加大事前事中事后监管力度</w:t>
      </w:r>
      <w:r>
        <w:rPr>
          <w:rFonts w:cs="Times New Roman"/>
        </w:rPr>
        <w:t>，维护良好的市场秩序</w:t>
      </w:r>
      <w:r>
        <w:rPr>
          <w:rFonts w:cs="Times New Roman" w:hint="eastAsia"/>
        </w:rPr>
        <w:t>；三是</w:t>
      </w:r>
      <w:r>
        <w:rPr>
          <w:rFonts w:cs="Times New Roman"/>
        </w:rPr>
        <w:t>建议</w:t>
      </w:r>
      <w:proofErr w:type="gramStart"/>
      <w:r>
        <w:rPr>
          <w:rFonts w:cs="Times New Roman"/>
        </w:rPr>
        <w:t>各自律组织</w:t>
      </w:r>
      <w:bookmarkStart w:id="1" w:name="_Toc23784_WPSOffice_Level2"/>
      <w:proofErr w:type="gramEnd"/>
      <w:r>
        <w:rPr>
          <w:rFonts w:cs="Times New Roman"/>
        </w:rPr>
        <w:t>进一步宣传适当性制度，</w:t>
      </w:r>
      <w:bookmarkEnd w:id="1"/>
      <w:r>
        <w:rPr>
          <w:rFonts w:cs="Times New Roman"/>
        </w:rPr>
        <w:t>加大对市场机构一线岗位、投资者尤其是中小投资者的系统培训，增进</w:t>
      </w:r>
      <w:proofErr w:type="gramStart"/>
      <w:r>
        <w:rPr>
          <w:rFonts w:cs="Times New Roman"/>
        </w:rPr>
        <w:t>对适当</w:t>
      </w:r>
      <w:proofErr w:type="gramEnd"/>
      <w:r>
        <w:rPr>
          <w:rFonts w:cs="Times New Roman"/>
        </w:rPr>
        <w:t>性的理解，提升经营机构合</w:t>
      </w:r>
      <w:proofErr w:type="gramStart"/>
      <w:r>
        <w:rPr>
          <w:rFonts w:cs="Times New Roman"/>
        </w:rPr>
        <w:t>规</w:t>
      </w:r>
      <w:proofErr w:type="gramEnd"/>
      <w:r>
        <w:rPr>
          <w:rFonts w:cs="Times New Roman"/>
        </w:rPr>
        <w:t>经营意识，</w:t>
      </w:r>
      <w:r>
        <w:rPr>
          <w:rFonts w:cs="Times New Roman" w:hint="eastAsia"/>
        </w:rPr>
        <w:t>倡导</w:t>
      </w:r>
      <w:r>
        <w:rPr>
          <w:rFonts w:cs="Times New Roman"/>
        </w:rPr>
        <w:t>理性投资</w:t>
      </w:r>
      <w:r>
        <w:rPr>
          <w:rFonts w:cs="Times New Roman" w:hint="eastAsia"/>
        </w:rPr>
        <w:t>理念；四是</w:t>
      </w:r>
      <w:r>
        <w:rPr>
          <w:rFonts w:cs="Times New Roman"/>
        </w:rPr>
        <w:t>建议</w:t>
      </w:r>
      <w:proofErr w:type="gramStart"/>
      <w:r>
        <w:rPr>
          <w:rFonts w:cs="Times New Roman"/>
        </w:rPr>
        <w:t>各自律组织</w:t>
      </w:r>
      <w:bookmarkStart w:id="2" w:name="_Toc20038_WPSOffice_Level2"/>
      <w:proofErr w:type="gramEnd"/>
      <w:r>
        <w:rPr>
          <w:rFonts w:cs="Times New Roman"/>
        </w:rPr>
        <w:t>进一步提升投资者保护理念和方法</w:t>
      </w:r>
      <w:bookmarkEnd w:id="2"/>
      <w:r>
        <w:rPr>
          <w:rFonts w:cs="Times New Roman" w:hint="eastAsia"/>
        </w:rPr>
        <w:t>，</w:t>
      </w:r>
      <w:r>
        <w:rPr>
          <w:rFonts w:cs="Times New Roman"/>
        </w:rPr>
        <w:t>掌握投资者群体结构和行为特征以及不同类型投资者在不同市场环境之间的差异，提供差异化的投资者保护路径和服务，为老年投资者、青少年等特殊群体提供匹配其特殊需求的信息、服务和保护</w:t>
      </w:r>
      <w:r>
        <w:rPr>
          <w:rFonts w:cs="Times New Roman" w:hint="eastAsia"/>
        </w:rPr>
        <w:t>；五是</w:t>
      </w:r>
      <w:r>
        <w:rPr>
          <w:rFonts w:cs="Times New Roman"/>
        </w:rPr>
        <w:t>建议自律组织</w:t>
      </w:r>
      <w:bookmarkStart w:id="3" w:name="_Toc18572_WPSOffice_Level2"/>
      <w:r>
        <w:rPr>
          <w:rFonts w:cs="Times New Roman"/>
        </w:rPr>
        <w:t>进一步创新投资者教育与服务的形式和内容</w:t>
      </w:r>
      <w:bookmarkEnd w:id="3"/>
      <w:r>
        <w:rPr>
          <w:rFonts w:cs="Times New Roman" w:hint="eastAsia"/>
        </w:rPr>
        <w:t>，</w:t>
      </w:r>
      <w:r>
        <w:rPr>
          <w:rFonts w:cs="Times New Roman"/>
        </w:rPr>
        <w:t>注重发挥新媒体作用，充分</w:t>
      </w:r>
      <w:proofErr w:type="gramStart"/>
      <w:r>
        <w:rPr>
          <w:rFonts w:cs="Times New Roman"/>
        </w:rPr>
        <w:t>激活微信和</w:t>
      </w:r>
      <w:proofErr w:type="gramEnd"/>
      <w:r>
        <w:rPr>
          <w:rFonts w:cs="Times New Roman"/>
        </w:rPr>
        <w:t>网站平台，最大限度为投资者服务，以覆盖不同投资者的多元化教育需求</w:t>
      </w:r>
      <w:r>
        <w:rPr>
          <w:rFonts w:cs="Times New Roman" w:hint="eastAsia"/>
        </w:rPr>
        <w:t>；六是</w:t>
      </w:r>
      <w:bookmarkStart w:id="4" w:name="_Toc2947_WPSOffice_Level2"/>
      <w:r>
        <w:rPr>
          <w:rFonts w:cs="Times New Roman" w:hint="eastAsia"/>
        </w:rPr>
        <w:t>建议</w:t>
      </w:r>
      <w:proofErr w:type="gramStart"/>
      <w:r>
        <w:rPr>
          <w:rFonts w:cs="Times New Roman" w:hint="eastAsia"/>
        </w:rPr>
        <w:t>各自律组织</w:t>
      </w:r>
      <w:proofErr w:type="gramEnd"/>
      <w:r>
        <w:rPr>
          <w:rFonts w:cs="Times New Roman"/>
        </w:rPr>
        <w:t>进一步优化</w:t>
      </w:r>
      <w:r>
        <w:rPr>
          <w:rFonts w:cs="Times New Roman"/>
        </w:rPr>
        <w:lastRenderedPageBreak/>
        <w:t>各类主体</w:t>
      </w:r>
      <w:proofErr w:type="gramStart"/>
      <w:r>
        <w:rPr>
          <w:rFonts w:cs="Times New Roman"/>
        </w:rPr>
        <w:t>的投教分工合作</w:t>
      </w:r>
      <w:proofErr w:type="gramEnd"/>
      <w:r>
        <w:rPr>
          <w:rFonts w:cs="Times New Roman"/>
        </w:rPr>
        <w:t>机制</w:t>
      </w:r>
      <w:bookmarkEnd w:id="4"/>
      <w:r>
        <w:rPr>
          <w:rFonts w:cs="Times New Roman" w:hint="eastAsia"/>
        </w:rPr>
        <w:t>，提升</w:t>
      </w:r>
      <w:proofErr w:type="gramStart"/>
      <w:r>
        <w:rPr>
          <w:rFonts w:cs="Times New Roman" w:hint="eastAsia"/>
        </w:rPr>
        <w:t>投教资源</w:t>
      </w:r>
      <w:proofErr w:type="gramEnd"/>
      <w:r>
        <w:rPr>
          <w:rFonts w:cs="Times New Roman" w:hint="eastAsia"/>
        </w:rPr>
        <w:t>利用率。</w:t>
      </w:r>
    </w:p>
    <w:sectPr w:rsidR="00CB735B">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4221" w:rsidRDefault="006B4221">
      <w:pPr>
        <w:ind w:firstLine="600"/>
      </w:pPr>
      <w:r>
        <w:separator/>
      </w:r>
    </w:p>
  </w:endnote>
  <w:endnote w:type="continuationSeparator" w:id="0">
    <w:p w:rsidR="006B4221" w:rsidRDefault="006B4221">
      <w:pPr>
        <w:ind w:firstLine="60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方正楷体简体">
    <w:altName w:val="Microsoft YaHei UI"/>
    <w:charset w:val="86"/>
    <w:family w:val="auto"/>
    <w:pitch w:val="default"/>
    <w:sig w:usb0="00000000" w:usb1="080E0000" w:usb2="00000000" w:usb3="00000000" w:csb0="00040000" w:csb1="00000000"/>
  </w:font>
  <w:font w:name="方正大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5B" w:rsidRDefault="00CB735B">
    <w:pPr>
      <w:pStyle w:val="a3"/>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5B" w:rsidRDefault="00CB735B">
    <w:pPr>
      <w:pStyle w:val="a3"/>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5B" w:rsidRDefault="00CB735B">
    <w:pPr>
      <w:pStyle w:val="a3"/>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4221" w:rsidRDefault="006B4221">
      <w:pPr>
        <w:ind w:firstLine="600"/>
      </w:pPr>
      <w:r>
        <w:separator/>
      </w:r>
    </w:p>
  </w:footnote>
  <w:footnote w:type="continuationSeparator" w:id="0">
    <w:p w:rsidR="006B4221" w:rsidRDefault="006B4221">
      <w:pPr>
        <w:ind w:firstLine="60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5B" w:rsidRDefault="00CB735B">
    <w:pPr>
      <w:pStyle w:val="a5"/>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5B" w:rsidRDefault="00CB735B">
    <w:pPr>
      <w:pStyle w:val="a5"/>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735B" w:rsidRDefault="00CB735B">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5B44"/>
    <w:rsid w:val="00007AB1"/>
    <w:rsid w:val="002367A7"/>
    <w:rsid w:val="00611AFD"/>
    <w:rsid w:val="0062645C"/>
    <w:rsid w:val="006B4221"/>
    <w:rsid w:val="008F69A4"/>
    <w:rsid w:val="00CB735B"/>
    <w:rsid w:val="00D0110D"/>
    <w:rsid w:val="00EF5B44"/>
    <w:rsid w:val="00F956A4"/>
    <w:rsid w:val="01A107C6"/>
    <w:rsid w:val="02AF0E68"/>
    <w:rsid w:val="03BF0F50"/>
    <w:rsid w:val="0A4D3179"/>
    <w:rsid w:val="0C2D4ADB"/>
    <w:rsid w:val="0CB76187"/>
    <w:rsid w:val="0D376B1E"/>
    <w:rsid w:val="11C45421"/>
    <w:rsid w:val="12150B0E"/>
    <w:rsid w:val="12326112"/>
    <w:rsid w:val="14A01482"/>
    <w:rsid w:val="16F54847"/>
    <w:rsid w:val="223D331E"/>
    <w:rsid w:val="263D199C"/>
    <w:rsid w:val="2B8E7CE7"/>
    <w:rsid w:val="2BB47D1D"/>
    <w:rsid w:val="2F2C03EB"/>
    <w:rsid w:val="326571C7"/>
    <w:rsid w:val="3B5E59AB"/>
    <w:rsid w:val="3E324233"/>
    <w:rsid w:val="40B51CEC"/>
    <w:rsid w:val="42591BFE"/>
    <w:rsid w:val="43440DD8"/>
    <w:rsid w:val="438057BE"/>
    <w:rsid w:val="43DE24FE"/>
    <w:rsid w:val="4718580A"/>
    <w:rsid w:val="4F9D6984"/>
    <w:rsid w:val="4F9F50AC"/>
    <w:rsid w:val="50D72BC7"/>
    <w:rsid w:val="56B47CB0"/>
    <w:rsid w:val="5B9935D8"/>
    <w:rsid w:val="5EE11A36"/>
    <w:rsid w:val="61CB5A1D"/>
    <w:rsid w:val="670C68E0"/>
    <w:rsid w:val="68190590"/>
    <w:rsid w:val="68D76276"/>
    <w:rsid w:val="6E6D2941"/>
    <w:rsid w:val="6F9F4772"/>
    <w:rsid w:val="74613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A992A7"/>
  <w15:docId w15:val="{B7760799-2932-4A8D-8B5E-DFBFDA37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unhideWhenUsed="1" w:qFormat="1"/>
    <w:lsdException w:name="header" w:qFormat="1"/>
    <w:lsdException w:name="footer" w:qFormat="1"/>
    <w:lsdException w:name="caption" w:semiHidden="1" w:unhideWhenUsed="1" w:qFormat="1"/>
    <w:lsdException w:name="footnote reference" w:uiPriority="99" w:unhideWhenUsed="1" w:qFormat="1"/>
    <w:lsdException w:name="Title" w:uiPriority="10"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ind w:firstLineChars="200" w:firstLine="200"/>
      <w:jc w:val="both"/>
    </w:pPr>
    <w:rPr>
      <w:rFonts w:eastAsia="方正仿宋简体" w:cstheme="minorBidi"/>
      <w:kern w:val="2"/>
      <w:sz w:val="30"/>
      <w:szCs w:val="22"/>
    </w:rPr>
  </w:style>
  <w:style w:type="paragraph" w:styleId="1">
    <w:name w:val="heading 1"/>
    <w:basedOn w:val="a"/>
    <w:next w:val="a"/>
    <w:link w:val="10"/>
    <w:qFormat/>
    <w:pPr>
      <w:keepNext/>
      <w:keepLines/>
      <w:spacing w:beforeLines="50" w:before="50"/>
      <w:ind w:firstLine="600"/>
      <w:jc w:val="left"/>
      <w:outlineLvl w:val="0"/>
    </w:pPr>
    <w:rPr>
      <w:rFonts w:eastAsia="黑体"/>
      <w:bCs/>
      <w:kern w:val="44"/>
      <w:szCs w:val="28"/>
    </w:rPr>
  </w:style>
  <w:style w:type="paragraph" w:styleId="2">
    <w:name w:val="heading 2"/>
    <w:basedOn w:val="a"/>
    <w:next w:val="a"/>
    <w:link w:val="20"/>
    <w:semiHidden/>
    <w:unhideWhenUsed/>
    <w:qFormat/>
    <w:pPr>
      <w:keepNext/>
      <w:keepLines/>
      <w:ind w:firstLine="600"/>
      <w:outlineLvl w:val="1"/>
    </w:pPr>
    <w:rPr>
      <w:rFonts w:eastAsia="楷体"/>
      <w:bCs/>
      <w:szCs w:val="32"/>
    </w:rPr>
  </w:style>
  <w:style w:type="paragraph" w:styleId="3">
    <w:name w:val="heading 3"/>
    <w:basedOn w:val="a"/>
    <w:next w:val="a"/>
    <w:link w:val="30"/>
    <w:semiHidden/>
    <w:unhideWhenUsed/>
    <w:qFormat/>
    <w:pPr>
      <w:keepNext/>
      <w:keepLines/>
      <w:ind w:firstLine="600"/>
      <w:outlineLvl w:val="2"/>
    </w:pPr>
    <w:rPr>
      <w:b/>
      <w:bCs/>
      <w:szCs w:val="32"/>
    </w:rPr>
  </w:style>
  <w:style w:type="paragraph" w:styleId="6">
    <w:name w:val="heading 6"/>
    <w:basedOn w:val="a"/>
    <w:next w:val="a"/>
    <w:semiHidden/>
    <w:unhideWhenUsed/>
    <w:qFormat/>
    <w:pPr>
      <w:spacing w:beforeAutospacing="1" w:afterAutospacing="1"/>
      <w:jc w:val="left"/>
      <w:outlineLvl w:val="5"/>
    </w:pPr>
    <w:rPr>
      <w:rFonts w:ascii="宋体" w:eastAsia="宋体" w:hAnsi="宋体" w:cs="Times New Roman" w:hint="eastAsia"/>
      <w:b/>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szCs w:val="18"/>
    </w:rPr>
  </w:style>
  <w:style w:type="paragraph" w:styleId="a5">
    <w:name w:val="header"/>
    <w:basedOn w:val="a"/>
    <w:link w:val="a6"/>
    <w:qFormat/>
    <w:pPr>
      <w:pBdr>
        <w:bottom w:val="single" w:sz="6" w:space="1" w:color="auto"/>
      </w:pBdr>
      <w:tabs>
        <w:tab w:val="center" w:pos="4153"/>
        <w:tab w:val="right" w:pos="8306"/>
      </w:tabs>
      <w:snapToGrid w:val="0"/>
      <w:jc w:val="center"/>
    </w:pPr>
    <w:rPr>
      <w:sz w:val="18"/>
      <w:szCs w:val="18"/>
    </w:rPr>
  </w:style>
  <w:style w:type="paragraph" w:styleId="a7">
    <w:name w:val="footnote text"/>
    <w:basedOn w:val="a"/>
    <w:uiPriority w:val="99"/>
    <w:unhideWhenUsed/>
    <w:qFormat/>
    <w:pPr>
      <w:snapToGrid w:val="0"/>
      <w:jc w:val="left"/>
    </w:pPr>
    <w:rPr>
      <w:rFonts w:eastAsia="宋体"/>
      <w:kern w:val="0"/>
      <w:sz w:val="18"/>
      <w:szCs w:val="18"/>
    </w:rPr>
  </w:style>
  <w:style w:type="paragraph" w:styleId="a8">
    <w:name w:val="Normal (Web)"/>
    <w:basedOn w:val="a"/>
    <w:qFormat/>
    <w:pPr>
      <w:spacing w:beforeAutospacing="1" w:afterAutospacing="1"/>
      <w:jc w:val="left"/>
    </w:pPr>
    <w:rPr>
      <w:rFonts w:cs="Times New Roman"/>
      <w:kern w:val="0"/>
      <w:sz w:val="24"/>
    </w:rPr>
  </w:style>
  <w:style w:type="paragraph" w:styleId="a9">
    <w:name w:val="Title"/>
    <w:basedOn w:val="a"/>
    <w:next w:val="a"/>
    <w:uiPriority w:val="10"/>
    <w:qFormat/>
    <w:pPr>
      <w:spacing w:line="240" w:lineRule="atLeast"/>
      <w:jc w:val="left"/>
      <w:outlineLvl w:val="0"/>
    </w:pPr>
    <w:rPr>
      <w:rFonts w:ascii="Cambria" w:eastAsia="方正楷体简体" w:hAnsi="Cambria"/>
      <w:bCs/>
      <w:szCs w:val="32"/>
    </w:rPr>
  </w:style>
  <w:style w:type="character" w:styleId="aa">
    <w:name w:val="footnote reference"/>
    <w:uiPriority w:val="99"/>
    <w:unhideWhenUsed/>
    <w:qFormat/>
    <w:rPr>
      <w:vertAlign w:val="superscript"/>
    </w:rPr>
  </w:style>
  <w:style w:type="character" w:customStyle="1" w:styleId="20">
    <w:name w:val="标题 2 字符"/>
    <w:link w:val="2"/>
    <w:qFormat/>
    <w:rPr>
      <w:rFonts w:ascii="Times New Roman" w:eastAsia="楷体" w:hAnsi="Times New Roman"/>
      <w:bCs/>
      <w:kern w:val="2"/>
      <w:sz w:val="30"/>
      <w:szCs w:val="32"/>
    </w:rPr>
  </w:style>
  <w:style w:type="character" w:customStyle="1" w:styleId="30">
    <w:name w:val="标题 3 字符"/>
    <w:link w:val="3"/>
    <w:qFormat/>
    <w:rPr>
      <w:rFonts w:ascii="Times New Roman" w:eastAsia="方正仿宋简体" w:hAnsi="Times New Roman"/>
      <w:b/>
      <w:bCs/>
      <w:kern w:val="2"/>
      <w:sz w:val="30"/>
      <w:szCs w:val="32"/>
    </w:rPr>
  </w:style>
  <w:style w:type="character" w:customStyle="1" w:styleId="10">
    <w:name w:val="标题 1 字符"/>
    <w:link w:val="1"/>
    <w:uiPriority w:val="9"/>
    <w:qFormat/>
    <w:rPr>
      <w:rFonts w:ascii="Times New Roman" w:eastAsia="黑体" w:hAnsi="Times New Roman"/>
      <w:bCs/>
      <w:kern w:val="44"/>
      <w:sz w:val="30"/>
      <w:szCs w:val="44"/>
    </w:rPr>
  </w:style>
  <w:style w:type="character" w:customStyle="1" w:styleId="a6">
    <w:name w:val="页眉 字符"/>
    <w:basedOn w:val="a0"/>
    <w:link w:val="a5"/>
    <w:qFormat/>
    <w:rPr>
      <w:rFonts w:ascii="Times New Roman" w:eastAsia="方正仿宋简体" w:hAnsi="Times New Roman" w:cstheme="minorBidi"/>
      <w:kern w:val="2"/>
      <w:sz w:val="18"/>
      <w:szCs w:val="18"/>
    </w:rPr>
  </w:style>
  <w:style w:type="character" w:customStyle="1" w:styleId="a4">
    <w:name w:val="页脚 字符"/>
    <w:basedOn w:val="a0"/>
    <w:link w:val="a3"/>
    <w:qFormat/>
    <w:rPr>
      <w:rFonts w:ascii="Times New Roman" w:eastAsia="方正仿宋简体" w:hAnsi="Times New Roman"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1033</Characters>
  <Application>Microsoft Office Word</Application>
  <DocSecurity>0</DocSecurity>
  <Lines>8</Lines>
  <Paragraphs>2</Paragraphs>
  <ScaleCrop>false</ScaleCrop>
  <Company/>
  <LinksUpToDate>false</LinksUpToDate>
  <CharactersWithSpaces>1212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张靖雯</dc:creator>
  <cp:lastModifiedBy>张琦</cp:lastModifiedBy>
  <cp:revision>7</cp:revision>
  <dcterms:created xsi:type="dcterms:W3CDTF">2014-10-29T12:08:00Z</dcterms:created>
  <dcterms:modified xsi:type="dcterms:W3CDTF">2021-05-14T02:18:00Z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