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24" w:rsidRDefault="003A1A24" w:rsidP="003A1A24">
      <w:pPr>
        <w:jc w:val="center"/>
        <w:rPr>
          <w:rFonts w:ascii="方正大标宋简体" w:eastAsia="方正大标宋简体"/>
          <w:sz w:val="36"/>
          <w:szCs w:val="36"/>
        </w:rPr>
      </w:pPr>
    </w:p>
    <w:p w:rsidR="003A1A24" w:rsidRDefault="003A1A24" w:rsidP="003A1A24">
      <w:pPr>
        <w:jc w:val="center"/>
        <w:rPr>
          <w:rFonts w:ascii="方正大标宋简体" w:eastAsia="方正大标宋简体"/>
          <w:sz w:val="36"/>
          <w:szCs w:val="36"/>
        </w:rPr>
      </w:pPr>
      <w:r w:rsidRPr="003A1A24">
        <w:rPr>
          <w:rFonts w:ascii="方正大标宋简体" w:eastAsia="方正大标宋简体" w:hint="eastAsia"/>
          <w:sz w:val="36"/>
          <w:szCs w:val="36"/>
        </w:rPr>
        <w:t>公募基金管理人投资者保护状况评价报告</w:t>
      </w:r>
      <w:r>
        <w:rPr>
          <w:rFonts w:ascii="方正大标宋简体" w:eastAsia="方正大标宋简体" w:hint="eastAsia"/>
          <w:sz w:val="36"/>
          <w:szCs w:val="36"/>
        </w:rPr>
        <w:t>（2</w:t>
      </w:r>
      <w:r>
        <w:rPr>
          <w:rFonts w:ascii="方正大标宋简体" w:eastAsia="方正大标宋简体"/>
          <w:sz w:val="36"/>
          <w:szCs w:val="36"/>
        </w:rPr>
        <w:t>021</w:t>
      </w:r>
      <w:r>
        <w:rPr>
          <w:rFonts w:ascii="方正大标宋简体" w:eastAsia="方正大标宋简体" w:hint="eastAsia"/>
          <w:sz w:val="36"/>
          <w:szCs w:val="36"/>
        </w:rPr>
        <w:t>）</w:t>
      </w:r>
    </w:p>
    <w:p w:rsidR="00F85FA1" w:rsidRPr="003A1A24" w:rsidRDefault="003A1A24" w:rsidP="003A1A24">
      <w:pPr>
        <w:jc w:val="center"/>
        <w:rPr>
          <w:rFonts w:ascii="方正大标宋简体" w:eastAsia="方正大标宋简体"/>
          <w:sz w:val="36"/>
          <w:szCs w:val="36"/>
        </w:rPr>
      </w:pPr>
      <w:r>
        <w:rPr>
          <w:rFonts w:ascii="方正大标宋简体" w:eastAsia="方正大标宋简体" w:hint="eastAsia"/>
          <w:sz w:val="36"/>
          <w:szCs w:val="36"/>
        </w:rPr>
        <w:t>简介</w:t>
      </w:r>
    </w:p>
    <w:p w:rsidR="003A1A24" w:rsidRDefault="003A1A24" w:rsidP="005A7F43">
      <w:pPr>
        <w:spacing w:line="486" w:lineRule="exact"/>
        <w:ind w:firstLineChars="200" w:firstLine="480"/>
        <w:rPr>
          <w:rFonts w:ascii="方正书宋简体" w:eastAsia="方正书宋简体"/>
          <w:sz w:val="24"/>
        </w:rPr>
      </w:pPr>
    </w:p>
    <w:p w:rsidR="00F85FA1" w:rsidRPr="003A1A24" w:rsidRDefault="00F85FA1" w:rsidP="003A1A24">
      <w:pPr>
        <w:pStyle w:val="ac"/>
        <w:ind w:firstLine="600"/>
      </w:pPr>
      <w:r w:rsidRPr="003A1A24">
        <w:rPr>
          <w:rFonts w:hint="eastAsia"/>
        </w:rPr>
        <w:t>《</w:t>
      </w:r>
      <w:r w:rsidR="000C5849" w:rsidRPr="003A1A24">
        <w:rPr>
          <w:rFonts w:hint="eastAsia"/>
        </w:rPr>
        <w:t>公募基金管理人投资者保护状况评价</w:t>
      </w:r>
      <w:r w:rsidRPr="003A1A24">
        <w:rPr>
          <w:rFonts w:hint="eastAsia"/>
        </w:rPr>
        <w:t>报告》</w:t>
      </w:r>
      <w:r w:rsidR="00BC5D38" w:rsidRPr="003A1A24">
        <w:rPr>
          <w:rFonts w:hint="eastAsia"/>
        </w:rPr>
        <w:t>从</w:t>
      </w:r>
      <w:r w:rsidRPr="003A1A24">
        <w:rPr>
          <w:rFonts w:hint="eastAsia"/>
        </w:rPr>
        <w:t>投资者保护机制建设、投资管理情况、适当性管理及知情权保障、投资者教育服务及投诉处理</w:t>
      </w:r>
      <w:r w:rsidR="00BC5D38" w:rsidRPr="003A1A24">
        <w:rPr>
          <w:rFonts w:hint="eastAsia"/>
        </w:rPr>
        <w:t>四个方面对公募基金管理人的投资者保护状况进行评价</w:t>
      </w:r>
      <w:r w:rsidRPr="003A1A24">
        <w:rPr>
          <w:rFonts w:hint="eastAsia"/>
        </w:rPr>
        <w:t>，</w:t>
      </w:r>
      <w:r w:rsidR="00BC5D38" w:rsidRPr="003A1A24">
        <w:rPr>
          <w:rFonts w:hint="eastAsia"/>
        </w:rPr>
        <w:t>提出建议。</w:t>
      </w:r>
    </w:p>
    <w:p w:rsidR="0009009C" w:rsidRPr="003A1A24" w:rsidRDefault="0009009C" w:rsidP="003A1A24">
      <w:pPr>
        <w:pStyle w:val="ac"/>
        <w:ind w:firstLine="600"/>
      </w:pPr>
      <w:r w:rsidRPr="003A1A24">
        <w:rPr>
          <w:rFonts w:hint="eastAsia"/>
        </w:rPr>
        <w:t>评价结果显示，</w:t>
      </w:r>
      <w:r w:rsidRPr="003A1A24">
        <w:rPr>
          <w:rFonts w:hint="eastAsia"/>
        </w:rPr>
        <w:t>20</w:t>
      </w:r>
      <w:r w:rsidRPr="003A1A24">
        <w:t>20</w:t>
      </w:r>
      <w:r w:rsidRPr="003A1A24">
        <w:rPr>
          <w:rFonts w:hint="eastAsia"/>
        </w:rPr>
        <w:t>年度公募基金管理人的投资者保护工作在以下几个方面取得了积极成效，亮点突出。</w:t>
      </w:r>
    </w:p>
    <w:p w:rsidR="0009009C" w:rsidRPr="003A1A24" w:rsidRDefault="0009009C" w:rsidP="003A1A24">
      <w:pPr>
        <w:pStyle w:val="ac"/>
        <w:ind w:firstLine="602"/>
      </w:pPr>
      <w:bookmarkStart w:id="0" w:name="_GoBack"/>
      <w:r w:rsidRPr="003A1A24">
        <w:rPr>
          <w:rFonts w:hint="eastAsia"/>
          <w:b/>
        </w:rPr>
        <w:t>一是基金投资者对公募基金管理人开展投资者保护工作的主观满意度提升。</w:t>
      </w:r>
      <w:bookmarkEnd w:id="0"/>
      <w:r w:rsidRPr="003A1A24">
        <w:rPr>
          <w:rFonts w:hint="eastAsia"/>
        </w:rPr>
        <w:t>2</w:t>
      </w:r>
      <w:r w:rsidRPr="003A1A24">
        <w:t>020</w:t>
      </w:r>
      <w:r w:rsidRPr="003A1A24">
        <w:rPr>
          <w:rFonts w:hint="eastAsia"/>
        </w:rPr>
        <w:t>年度评价结果显示，受调查基金投资者对公募基金管理人宣传推介材料真实准确性的满意程度有所提升，</w:t>
      </w:r>
      <w:r w:rsidRPr="003A1A24">
        <w:rPr>
          <w:rFonts w:hint="eastAsia"/>
        </w:rPr>
        <w:t>63.9%</w:t>
      </w:r>
      <w:r w:rsidRPr="003A1A24">
        <w:rPr>
          <w:rFonts w:hint="eastAsia"/>
        </w:rPr>
        <w:t>的受调查基金投资者评价公募基金管理人宣传推介材料较为真实、准确、客观；受调查基金投资者对公募基金管理人开展投教活动的满意程度有所提升，表示满意的占比为</w:t>
      </w:r>
      <w:r w:rsidRPr="003A1A24">
        <w:rPr>
          <w:rFonts w:hint="eastAsia"/>
        </w:rPr>
        <w:t>85.7%</w:t>
      </w:r>
      <w:r w:rsidRPr="003A1A24">
        <w:rPr>
          <w:rFonts w:hint="eastAsia"/>
        </w:rPr>
        <w:t>；受调查基金投资者对公募基金管理人投诉处理情况的满意度水平有所提升，</w:t>
      </w:r>
      <w:r w:rsidRPr="003A1A24">
        <w:rPr>
          <w:rFonts w:hint="eastAsia"/>
        </w:rPr>
        <w:t>8</w:t>
      </w:r>
      <w:r w:rsidRPr="003A1A24">
        <w:t>4.7</w:t>
      </w:r>
      <w:r w:rsidRPr="003A1A24">
        <w:rPr>
          <w:rFonts w:hint="eastAsia"/>
        </w:rPr>
        <w:t>%</w:t>
      </w:r>
      <w:r w:rsidRPr="003A1A24">
        <w:rPr>
          <w:rFonts w:hint="eastAsia"/>
        </w:rPr>
        <w:t>有过投诉的受调查者表示满意；受调查基金投资者对公募基金管理人履行重要信息提示义务的满意程度有所提升，表示满意的占比达</w:t>
      </w:r>
      <w:r w:rsidRPr="003A1A24">
        <w:rPr>
          <w:rFonts w:hint="eastAsia"/>
        </w:rPr>
        <w:t>8</w:t>
      </w:r>
      <w:r w:rsidRPr="003A1A24">
        <w:t>9.2</w:t>
      </w:r>
      <w:r w:rsidRPr="003A1A24">
        <w:rPr>
          <w:rFonts w:hint="eastAsia"/>
        </w:rPr>
        <w:t>%</w:t>
      </w:r>
      <w:r w:rsidRPr="003A1A24">
        <w:rPr>
          <w:rFonts w:hint="eastAsia"/>
        </w:rPr>
        <w:t>。</w:t>
      </w:r>
    </w:p>
    <w:p w:rsidR="0009009C" w:rsidRPr="003A1A24" w:rsidRDefault="005A7F43" w:rsidP="003A1A24">
      <w:pPr>
        <w:pStyle w:val="ac"/>
        <w:ind w:firstLine="602"/>
      </w:pPr>
      <w:r w:rsidRPr="003A1A24">
        <w:rPr>
          <w:rFonts w:hint="eastAsia"/>
          <w:b/>
        </w:rPr>
        <w:t>二是公募基金长期业绩</w:t>
      </w:r>
      <w:r w:rsidR="0009009C" w:rsidRPr="003A1A24">
        <w:rPr>
          <w:rFonts w:hint="eastAsia"/>
          <w:b/>
        </w:rPr>
        <w:t>优势明显。</w:t>
      </w:r>
      <w:r w:rsidR="0009009C" w:rsidRPr="003A1A24">
        <w:rPr>
          <w:rFonts w:hint="eastAsia"/>
        </w:rPr>
        <w:t>2</w:t>
      </w:r>
      <w:r w:rsidR="0009009C" w:rsidRPr="003A1A24">
        <w:t>020</w:t>
      </w:r>
      <w:r w:rsidR="0009009C" w:rsidRPr="003A1A24">
        <w:rPr>
          <w:rFonts w:hint="eastAsia"/>
        </w:rPr>
        <w:t>年度评价结果显示，三年期收益率和五年期收益率超越业绩比较基准的主动型基金分别占比</w:t>
      </w:r>
      <w:r w:rsidR="0009009C" w:rsidRPr="003A1A24">
        <w:rPr>
          <w:rFonts w:hint="eastAsia"/>
        </w:rPr>
        <w:t>91.5%</w:t>
      </w:r>
      <w:r w:rsidR="0009009C" w:rsidRPr="003A1A24">
        <w:rPr>
          <w:rFonts w:hint="eastAsia"/>
        </w:rPr>
        <w:t>和</w:t>
      </w:r>
      <w:r w:rsidR="0009009C" w:rsidRPr="003A1A24">
        <w:rPr>
          <w:rFonts w:hint="eastAsia"/>
        </w:rPr>
        <w:t>95.1%</w:t>
      </w:r>
      <w:r w:rsidR="0009009C" w:rsidRPr="003A1A24">
        <w:rPr>
          <w:rFonts w:hint="eastAsia"/>
        </w:rPr>
        <w:t>，与</w:t>
      </w:r>
      <w:r w:rsidR="0009009C" w:rsidRPr="003A1A24">
        <w:rPr>
          <w:rFonts w:hint="eastAsia"/>
        </w:rPr>
        <w:t>2020</w:t>
      </w:r>
      <w:r w:rsidR="0009009C" w:rsidRPr="003A1A24">
        <w:rPr>
          <w:rFonts w:hint="eastAsia"/>
        </w:rPr>
        <w:t>年一年期业绩收益率的情况</w:t>
      </w:r>
      <w:r w:rsidR="0009009C" w:rsidRPr="003A1A24">
        <w:rPr>
          <w:rFonts w:hint="eastAsia"/>
        </w:rPr>
        <w:lastRenderedPageBreak/>
        <w:t>相比，三年期收益率超越业绩比较基准的基金数量占比高出</w:t>
      </w:r>
      <w:r w:rsidR="0009009C" w:rsidRPr="003A1A24">
        <w:rPr>
          <w:rFonts w:hint="eastAsia"/>
        </w:rPr>
        <w:t>4.8</w:t>
      </w:r>
      <w:r w:rsidR="0009009C" w:rsidRPr="003A1A24">
        <w:rPr>
          <w:rFonts w:hint="eastAsia"/>
        </w:rPr>
        <w:t>个百分点，</w:t>
      </w:r>
      <w:r w:rsidR="0009009C" w:rsidRPr="003A1A24">
        <w:rPr>
          <w:rFonts w:hint="eastAsia"/>
        </w:rPr>
        <w:t>5</w:t>
      </w:r>
      <w:r w:rsidR="0009009C" w:rsidRPr="003A1A24">
        <w:rPr>
          <w:rFonts w:hint="eastAsia"/>
        </w:rPr>
        <w:t>年期收益率超越业绩比较基准的基金数量占比高出</w:t>
      </w:r>
      <w:r w:rsidR="0009009C" w:rsidRPr="003A1A24">
        <w:rPr>
          <w:rFonts w:hint="eastAsia"/>
        </w:rPr>
        <w:t>8.5</w:t>
      </w:r>
      <w:r w:rsidR="0009009C" w:rsidRPr="003A1A24">
        <w:rPr>
          <w:rFonts w:hint="eastAsia"/>
        </w:rPr>
        <w:t>个百分点。</w:t>
      </w:r>
    </w:p>
    <w:p w:rsidR="0009009C" w:rsidRPr="003A1A24" w:rsidRDefault="0009009C" w:rsidP="003A1A24">
      <w:pPr>
        <w:pStyle w:val="ac"/>
        <w:ind w:firstLine="602"/>
      </w:pPr>
      <w:r w:rsidRPr="003A1A24">
        <w:rPr>
          <w:rFonts w:hint="eastAsia"/>
          <w:b/>
        </w:rPr>
        <w:t>三是公募基金管理人</w:t>
      </w:r>
      <w:r w:rsidR="005B3469" w:rsidRPr="003A1A24">
        <w:rPr>
          <w:rFonts w:hint="eastAsia"/>
          <w:b/>
        </w:rPr>
        <w:t>服务意识</w:t>
      </w:r>
      <w:r w:rsidRPr="003A1A24">
        <w:rPr>
          <w:rFonts w:hint="eastAsia"/>
          <w:b/>
        </w:rPr>
        <w:t>增强，服务水平提升。</w:t>
      </w:r>
      <w:r w:rsidRPr="003A1A24">
        <w:rPr>
          <w:rFonts w:hint="eastAsia"/>
        </w:rPr>
        <w:t>2</w:t>
      </w:r>
      <w:r w:rsidRPr="003A1A24">
        <w:t>020</w:t>
      </w:r>
      <w:r w:rsidRPr="003A1A24">
        <w:rPr>
          <w:rFonts w:hint="eastAsia"/>
        </w:rPr>
        <w:t>年度评价结果显示，公募基金管理人客服电话畅通情况进一步好转，接听率提升至</w:t>
      </w:r>
      <w:r w:rsidRPr="003A1A24">
        <w:rPr>
          <w:rFonts w:hint="eastAsia"/>
        </w:rPr>
        <w:t>93.85%</w:t>
      </w:r>
      <w:r w:rsidRPr="003A1A24">
        <w:rPr>
          <w:rFonts w:hint="eastAsia"/>
        </w:rPr>
        <w:t>，为近五年最高值；处理客户投诉的及时性明显增强，投诉事项的平均办结时间由上一年度的</w:t>
      </w:r>
      <w:r w:rsidRPr="003A1A24">
        <w:rPr>
          <w:rFonts w:hint="eastAsia"/>
        </w:rPr>
        <w:t>1</w:t>
      </w:r>
      <w:r w:rsidRPr="003A1A24">
        <w:t>.5</w:t>
      </w:r>
      <w:r w:rsidRPr="003A1A24">
        <w:rPr>
          <w:rFonts w:hint="eastAsia"/>
        </w:rPr>
        <w:t>个月缩短至</w:t>
      </w:r>
      <w:r w:rsidRPr="003A1A24">
        <w:rPr>
          <w:rFonts w:hint="eastAsia"/>
        </w:rPr>
        <w:t>1</w:t>
      </w:r>
      <w:r w:rsidRPr="003A1A24">
        <w:t>4.2</w:t>
      </w:r>
      <w:r w:rsidRPr="003A1A24">
        <w:rPr>
          <w:rFonts w:hint="eastAsia"/>
        </w:rPr>
        <w:t>个工作日。</w:t>
      </w:r>
    </w:p>
    <w:p w:rsidR="0009009C" w:rsidRPr="003A1A24" w:rsidRDefault="0009009C" w:rsidP="003A1A24">
      <w:pPr>
        <w:pStyle w:val="ac"/>
        <w:ind w:firstLine="602"/>
      </w:pPr>
      <w:r w:rsidRPr="003A1A24">
        <w:rPr>
          <w:rFonts w:hint="eastAsia"/>
          <w:b/>
        </w:rPr>
        <w:t>四是公募基金管理人坚守受托责任，未发生侵犯投资者利益的行为。</w:t>
      </w:r>
      <w:r w:rsidRPr="003A1A24">
        <w:rPr>
          <w:rFonts w:hint="eastAsia"/>
        </w:rPr>
        <w:t>2</w:t>
      </w:r>
      <w:r w:rsidRPr="003A1A24">
        <w:t>020</w:t>
      </w:r>
      <w:r w:rsidRPr="003A1A24">
        <w:rPr>
          <w:rFonts w:hint="eastAsia"/>
        </w:rPr>
        <w:t>年度评价结果显示，纳入评价的公募基金管理人在开展公募管理业务过程中均未发生因违反合同约定、侵犯基金份额持有人利益而被起诉的情况，不存在基金份额净值计价错误和货币基金正负偏离度绝对值达到</w:t>
      </w:r>
      <w:r w:rsidRPr="003A1A24">
        <w:rPr>
          <w:rFonts w:hint="eastAsia"/>
        </w:rPr>
        <w:t>0</w:t>
      </w:r>
      <w:r w:rsidRPr="003A1A24">
        <w:t>.25</w:t>
      </w:r>
      <w:r w:rsidRPr="003A1A24">
        <w:rPr>
          <w:rFonts w:hint="eastAsia"/>
        </w:rPr>
        <w:t>%</w:t>
      </w:r>
      <w:r w:rsidRPr="003A1A24">
        <w:rPr>
          <w:rFonts w:hint="eastAsia"/>
        </w:rPr>
        <w:t>的情况。</w:t>
      </w:r>
    </w:p>
    <w:p w:rsidR="0009009C" w:rsidRPr="003A1A24" w:rsidRDefault="0009009C" w:rsidP="003A1A24">
      <w:pPr>
        <w:pStyle w:val="ac"/>
        <w:ind w:firstLine="600"/>
      </w:pPr>
      <w:r w:rsidRPr="003A1A24">
        <w:rPr>
          <w:rFonts w:hint="eastAsia"/>
        </w:rPr>
        <w:t>同时，评价发现公募基金管理人的投资者保护工作在以下方面有待进一步改进。</w:t>
      </w:r>
    </w:p>
    <w:p w:rsidR="0009009C" w:rsidRPr="003A1A24" w:rsidRDefault="0009009C" w:rsidP="003A1A24">
      <w:pPr>
        <w:pStyle w:val="ac"/>
        <w:ind w:firstLine="602"/>
      </w:pPr>
      <w:r w:rsidRPr="003A1A24">
        <w:rPr>
          <w:rFonts w:hint="eastAsia"/>
          <w:b/>
        </w:rPr>
        <w:t>一是投资者教育工作的开展需进一步突出实效，提高针对性。</w:t>
      </w:r>
      <w:r w:rsidRPr="003A1A24">
        <w:rPr>
          <w:rFonts w:hint="eastAsia"/>
        </w:rPr>
        <w:t>在本年度评价中，我们通过梳理</w:t>
      </w:r>
      <w:r w:rsidRPr="003A1A24">
        <w:rPr>
          <w:rFonts w:hint="eastAsia"/>
        </w:rPr>
        <w:t>1</w:t>
      </w:r>
      <w:r w:rsidRPr="003A1A24">
        <w:t>2386</w:t>
      </w:r>
      <w:r w:rsidRPr="003A1A24">
        <w:rPr>
          <w:rFonts w:hint="eastAsia"/>
        </w:rPr>
        <w:t>热线投诉事项，发现很多投诉事项是基金投资者在对基金交易规则了解不清楚的情况下产生的，在一定程度上反映了基金投资者在知识水平和投资专业性方面有待进一步提升。公募基金投资者保护状况调查结果显示，受调查基金投资者更偏好普及性基金常识类的投教活动。对公募基金管理人而言，需进一步加强投教职责的履行，提高投教工作的针对性，重点针对公募基金投资者存在的知识盲区开展投教活</w:t>
      </w:r>
      <w:r w:rsidRPr="003A1A24">
        <w:rPr>
          <w:rFonts w:hint="eastAsia"/>
        </w:rPr>
        <w:lastRenderedPageBreak/>
        <w:t>动。</w:t>
      </w:r>
    </w:p>
    <w:p w:rsidR="0009009C" w:rsidRPr="003A1A24" w:rsidRDefault="0009009C" w:rsidP="003A1A24">
      <w:pPr>
        <w:pStyle w:val="ac"/>
        <w:ind w:firstLine="602"/>
      </w:pPr>
      <w:r w:rsidRPr="003A1A24">
        <w:rPr>
          <w:rFonts w:hint="eastAsia"/>
          <w:b/>
        </w:rPr>
        <w:t>二是基金销售环节的风险提示工作需要进一步改进提高。</w:t>
      </w:r>
      <w:r w:rsidRPr="003A1A24">
        <w:rPr>
          <w:rFonts w:hint="eastAsia"/>
        </w:rPr>
        <w:t>评价发现，很多基金投资者对基金销售环节的风险提示信息存在明确的需求，但从目前基金销售环节的实际情况来看，风险提示的方式和力度还存在不足。从现有基金投资者结构来看，个人投资者居多，因此对于公募基金管理人而言，需进一步加强基金销售环节的风险提示工作，对于基金产品风险揭示书等内容限定投资者最短阅读时间等，并加强对基金年内最大回撤、历史波动率水平等风险信息的提示，切实增强基金投资者的风险意识，保障投资者知情权。</w:t>
      </w:r>
    </w:p>
    <w:p w:rsidR="0009009C" w:rsidRPr="003A1A24" w:rsidRDefault="005B3469" w:rsidP="003A1A24">
      <w:pPr>
        <w:pStyle w:val="ac"/>
        <w:ind w:firstLine="600"/>
      </w:pPr>
      <w:r w:rsidRPr="003A1A24">
        <w:rPr>
          <w:rFonts w:hint="eastAsia"/>
        </w:rPr>
        <w:t>针对本年度评价情况，《报告》</w:t>
      </w:r>
      <w:r w:rsidR="0009009C" w:rsidRPr="003A1A24">
        <w:rPr>
          <w:rFonts w:hint="eastAsia"/>
        </w:rPr>
        <w:t>建议：</w:t>
      </w:r>
    </w:p>
    <w:p w:rsidR="0009009C" w:rsidRPr="003A1A24" w:rsidRDefault="0009009C" w:rsidP="003A1A24">
      <w:pPr>
        <w:pStyle w:val="ac"/>
        <w:ind w:firstLine="602"/>
      </w:pPr>
      <w:r w:rsidRPr="003A1A24">
        <w:rPr>
          <w:rFonts w:hint="eastAsia"/>
          <w:b/>
        </w:rPr>
        <w:t>一是加强对基金投资者群体属性和特点的研究分析，增强基金投资者教育力度和针对性。</w:t>
      </w:r>
      <w:r w:rsidRPr="003A1A24">
        <w:rPr>
          <w:rFonts w:hint="eastAsia"/>
        </w:rPr>
        <w:t>在资本市场鼓励权益基金发展的背景下，强化投资者教育有利于通过提升投资者的专业素养和理性投资水平，进一步促进行业的健康稳健发展，从而增强投资者对基金行业的信心。通过评价，我们发现基金投资者普遍存在对基金交易规则缺乏了解的问题，这种专业性上的欠缺容易导致非理性投资行为的产生。对于公募基金行业的投资者教育工作而言，要进一步打牢调查研究的基础，通过加强对基金投资者群体的结构、属性和交易行为特点的研究分析，增强投教工作的针对性和实效性。</w:t>
      </w:r>
    </w:p>
    <w:p w:rsidR="00D64A7A" w:rsidRPr="003A1A24" w:rsidRDefault="0009009C" w:rsidP="003A1A24">
      <w:pPr>
        <w:pStyle w:val="ac"/>
        <w:ind w:firstLine="602"/>
      </w:pPr>
      <w:r w:rsidRPr="003A1A24">
        <w:rPr>
          <w:rFonts w:hint="eastAsia"/>
          <w:b/>
        </w:rPr>
        <w:t>二是</w:t>
      </w:r>
      <w:r w:rsidRPr="003A1A24">
        <w:rPr>
          <w:b/>
        </w:rPr>
        <w:t>加强公募基金产品发行节奏的逆周期调节</w:t>
      </w:r>
      <w:r w:rsidRPr="003A1A24">
        <w:rPr>
          <w:rFonts w:hint="eastAsia"/>
          <w:b/>
        </w:rPr>
        <w:t>，</w:t>
      </w:r>
      <w:r w:rsidRPr="003A1A24">
        <w:rPr>
          <w:b/>
        </w:rPr>
        <w:t>培养投资者</w:t>
      </w:r>
      <w:r w:rsidRPr="003A1A24">
        <w:rPr>
          <w:rFonts w:hint="eastAsia"/>
          <w:b/>
        </w:rPr>
        <w:t>正确</w:t>
      </w:r>
      <w:r w:rsidRPr="003A1A24">
        <w:rPr>
          <w:b/>
        </w:rPr>
        <w:t>的投资理念</w:t>
      </w:r>
      <w:r w:rsidRPr="003A1A24">
        <w:rPr>
          <w:rFonts w:hint="eastAsia"/>
          <w:b/>
        </w:rPr>
        <w:t>。</w:t>
      </w:r>
      <w:r w:rsidRPr="003A1A24">
        <w:rPr>
          <w:rFonts w:hint="eastAsia"/>
        </w:rPr>
        <w:t>目前</w:t>
      </w:r>
      <w:r w:rsidRPr="003A1A24">
        <w:t>，公募</w:t>
      </w:r>
      <w:r w:rsidRPr="003A1A24">
        <w:rPr>
          <w:rFonts w:hint="eastAsia"/>
        </w:rPr>
        <w:t>基金</w:t>
      </w:r>
      <w:r w:rsidRPr="003A1A24">
        <w:t>产品</w:t>
      </w:r>
      <w:r w:rsidRPr="003A1A24">
        <w:rPr>
          <w:rFonts w:hint="eastAsia"/>
        </w:rPr>
        <w:t>发行</w:t>
      </w:r>
      <w:r w:rsidRPr="003A1A24">
        <w:t>数量呈现</w:t>
      </w:r>
      <w:r w:rsidRPr="003A1A24">
        <w:rPr>
          <w:rFonts w:hint="eastAsia"/>
        </w:rPr>
        <w:t>明显</w:t>
      </w:r>
      <w:r w:rsidRPr="003A1A24">
        <w:t>的</w:t>
      </w:r>
      <w:r w:rsidRPr="003A1A24">
        <w:rPr>
          <w:rFonts w:hint="eastAsia"/>
        </w:rPr>
        <w:t>“顺</w:t>
      </w:r>
      <w:r w:rsidRPr="003A1A24">
        <w:rPr>
          <w:rFonts w:hint="eastAsia"/>
        </w:rPr>
        <w:lastRenderedPageBreak/>
        <w:t>周期”特点</w:t>
      </w:r>
      <w:r w:rsidRPr="003A1A24">
        <w:t>，即在市场行情</w:t>
      </w:r>
      <w:r w:rsidRPr="003A1A24">
        <w:rPr>
          <w:rFonts w:hint="eastAsia"/>
        </w:rPr>
        <w:t>向好</w:t>
      </w:r>
      <w:r w:rsidRPr="003A1A24">
        <w:t>时，发行火爆，在市场行情低迷时，</w:t>
      </w:r>
      <w:r w:rsidRPr="003A1A24">
        <w:rPr>
          <w:rFonts w:hint="eastAsia"/>
        </w:rPr>
        <w:t>新发基金</w:t>
      </w:r>
      <w:r w:rsidRPr="003A1A24">
        <w:t>数量往往较少。</w:t>
      </w:r>
      <w:r w:rsidRPr="003A1A24">
        <w:rPr>
          <w:rFonts w:hint="eastAsia"/>
        </w:rPr>
        <w:t>这一现象</w:t>
      </w:r>
      <w:r w:rsidRPr="003A1A24">
        <w:t>在一定</w:t>
      </w:r>
      <w:r w:rsidRPr="003A1A24">
        <w:rPr>
          <w:rFonts w:hint="eastAsia"/>
        </w:rPr>
        <w:t>程度</w:t>
      </w:r>
      <w:r w:rsidRPr="003A1A24">
        <w:t>上</w:t>
      </w:r>
      <w:r w:rsidRPr="003A1A24">
        <w:rPr>
          <w:rFonts w:hint="eastAsia"/>
        </w:rPr>
        <w:t>会助推</w:t>
      </w:r>
      <w:r w:rsidRPr="003A1A24">
        <w:t>基金投资者</w:t>
      </w:r>
      <w:r w:rsidRPr="003A1A24">
        <w:rPr>
          <w:rFonts w:hint="eastAsia"/>
        </w:rPr>
        <w:t>“追涨杀跌”的</w:t>
      </w:r>
      <w:r w:rsidRPr="003A1A24">
        <w:t>非理性行为</w:t>
      </w:r>
      <w:r w:rsidRPr="003A1A24">
        <w:rPr>
          <w:rFonts w:hint="eastAsia"/>
        </w:rPr>
        <w:t>，从而</w:t>
      </w:r>
      <w:r w:rsidRPr="003A1A24">
        <w:t>出现</w:t>
      </w:r>
      <w:r w:rsidRPr="003A1A24">
        <w:rPr>
          <w:rFonts w:hint="eastAsia"/>
        </w:rPr>
        <w:t>“基金赚钱</w:t>
      </w:r>
      <w:r w:rsidRPr="003A1A24">
        <w:t>但基民不赚钱</w:t>
      </w:r>
      <w:r w:rsidRPr="003A1A24">
        <w:rPr>
          <w:rFonts w:hint="eastAsia"/>
        </w:rPr>
        <w:t>”的</w:t>
      </w:r>
      <w:r w:rsidRPr="003A1A24">
        <w:t>现象。</w:t>
      </w:r>
      <w:r w:rsidRPr="003A1A24">
        <w:rPr>
          <w:rFonts w:hint="eastAsia"/>
        </w:rPr>
        <w:t>为进一步</w:t>
      </w:r>
      <w:r w:rsidRPr="003A1A24">
        <w:t>引导</w:t>
      </w:r>
      <w:r w:rsidRPr="003A1A24">
        <w:rPr>
          <w:rFonts w:hint="eastAsia"/>
        </w:rPr>
        <w:t>投资者</w:t>
      </w:r>
      <w:r w:rsidRPr="003A1A24">
        <w:t>理性投资</w:t>
      </w:r>
      <w:r w:rsidRPr="003A1A24">
        <w:rPr>
          <w:rFonts w:hint="eastAsia"/>
        </w:rPr>
        <w:t>，</w:t>
      </w:r>
      <w:r w:rsidRPr="003A1A24">
        <w:t>增强基金投资者的获得感，</w:t>
      </w:r>
      <w:r w:rsidRPr="003A1A24">
        <w:rPr>
          <w:rFonts w:hint="eastAsia"/>
        </w:rPr>
        <w:t>建议</w:t>
      </w:r>
      <w:r w:rsidRPr="003A1A24">
        <w:t>监管部门</w:t>
      </w:r>
      <w:r w:rsidRPr="003A1A24">
        <w:rPr>
          <w:rFonts w:hint="eastAsia"/>
        </w:rPr>
        <w:t>在基金产品</w:t>
      </w:r>
      <w:r w:rsidRPr="003A1A24">
        <w:t>发行审核阶段加强节奏把控，</w:t>
      </w:r>
      <w:r w:rsidRPr="003A1A24">
        <w:rPr>
          <w:rFonts w:hint="eastAsia"/>
        </w:rPr>
        <w:t>鼓励</w:t>
      </w:r>
      <w:r w:rsidRPr="003A1A24">
        <w:t>公募基金</w:t>
      </w:r>
      <w:r w:rsidRPr="003A1A24">
        <w:rPr>
          <w:rFonts w:hint="eastAsia"/>
        </w:rPr>
        <w:t>秉持</w:t>
      </w:r>
      <w:r w:rsidRPr="003A1A24">
        <w:t>价值投资理念，</w:t>
      </w:r>
      <w:r w:rsidRPr="003A1A24">
        <w:rPr>
          <w:rFonts w:hint="eastAsia"/>
        </w:rPr>
        <w:t>根据</w:t>
      </w:r>
      <w:r w:rsidRPr="003A1A24">
        <w:t>市场行情逆周期销售，同时通过</w:t>
      </w:r>
      <w:r w:rsidRPr="003A1A24">
        <w:rPr>
          <w:rFonts w:hint="eastAsia"/>
        </w:rPr>
        <w:t>加强</w:t>
      </w:r>
      <w:r w:rsidRPr="003A1A24">
        <w:t>投资者</w:t>
      </w:r>
      <w:r w:rsidRPr="003A1A24">
        <w:rPr>
          <w:rFonts w:hint="eastAsia"/>
        </w:rPr>
        <w:t>教育</w:t>
      </w:r>
      <w:r w:rsidRPr="003A1A24">
        <w:t>宣传引导，倡导投资者在市场行情向好时理性投资，在市场行情低迷时坚守长期投资理念。</w:t>
      </w:r>
    </w:p>
    <w:p w:rsidR="005B3469" w:rsidRPr="003A1A24" w:rsidRDefault="005B3469" w:rsidP="003A1A24">
      <w:pPr>
        <w:pStyle w:val="ac"/>
        <w:ind w:firstLine="600"/>
      </w:pPr>
      <w:r w:rsidRPr="003A1A24">
        <w:rPr>
          <w:rFonts w:hint="eastAsia"/>
        </w:rPr>
        <w:t>受制于信息披露、数据可获得性等客观条件限制，《报告》尚有不足之处，希望市场各方多提宝贵意见，以便我公司进一步改进投资者保护评价工作。</w:t>
      </w:r>
    </w:p>
    <w:sectPr w:rsidR="005B3469" w:rsidRPr="003A1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F8" w:rsidRDefault="00D043F8" w:rsidP="0009009C">
      <w:r>
        <w:separator/>
      </w:r>
    </w:p>
  </w:endnote>
  <w:endnote w:type="continuationSeparator" w:id="0">
    <w:p w:rsidR="00D043F8" w:rsidRDefault="00D043F8" w:rsidP="000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F8" w:rsidRDefault="00D043F8" w:rsidP="0009009C">
      <w:r>
        <w:separator/>
      </w:r>
    </w:p>
  </w:footnote>
  <w:footnote w:type="continuationSeparator" w:id="0">
    <w:p w:rsidR="00D043F8" w:rsidRDefault="00D043F8" w:rsidP="00090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A1"/>
    <w:rsid w:val="0009009C"/>
    <w:rsid w:val="000C5849"/>
    <w:rsid w:val="000D38A9"/>
    <w:rsid w:val="002811F5"/>
    <w:rsid w:val="002912AB"/>
    <w:rsid w:val="002C7B8F"/>
    <w:rsid w:val="003A1A24"/>
    <w:rsid w:val="004D3CAE"/>
    <w:rsid w:val="0050097B"/>
    <w:rsid w:val="00515595"/>
    <w:rsid w:val="00516D79"/>
    <w:rsid w:val="005A7F43"/>
    <w:rsid w:val="005B3469"/>
    <w:rsid w:val="005E3AC2"/>
    <w:rsid w:val="005F616D"/>
    <w:rsid w:val="006F2155"/>
    <w:rsid w:val="007C5096"/>
    <w:rsid w:val="007E0D3B"/>
    <w:rsid w:val="00AB6B9A"/>
    <w:rsid w:val="00BC5D38"/>
    <w:rsid w:val="00C70F32"/>
    <w:rsid w:val="00C83FFF"/>
    <w:rsid w:val="00D043F8"/>
    <w:rsid w:val="00D25A0B"/>
    <w:rsid w:val="00D64A7A"/>
    <w:rsid w:val="00F471B7"/>
    <w:rsid w:val="00F8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AE81"/>
  <w15:chartTrackingRefBased/>
  <w15:docId w15:val="{ADA9AEB3-EC8C-457B-92ED-509328F4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FA1"/>
    <w:pPr>
      <w:widowControl w:val="0"/>
      <w:jc w:val="both"/>
    </w:pPr>
    <w:rPr>
      <w:rFonts w:ascii="Times New Roman" w:eastAsia="方正仿宋简体"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semiHidden/>
    <w:unhideWhenUsed/>
    <w:qFormat/>
    <w:rsid w:val="00F85FA1"/>
    <w:pPr>
      <w:jc w:val="left"/>
    </w:pPr>
  </w:style>
  <w:style w:type="character" w:customStyle="1" w:styleId="a4">
    <w:name w:val="批注文字 字符"/>
    <w:basedOn w:val="a0"/>
    <w:uiPriority w:val="99"/>
    <w:semiHidden/>
    <w:rsid w:val="00F85FA1"/>
    <w:rPr>
      <w:rFonts w:ascii="Times New Roman" w:eastAsia="方正仿宋简体" w:hAnsi="Times New Roman" w:cs="Times New Roman"/>
      <w:sz w:val="30"/>
      <w:szCs w:val="24"/>
    </w:rPr>
  </w:style>
  <w:style w:type="character" w:styleId="a5">
    <w:name w:val="annotation reference"/>
    <w:uiPriority w:val="99"/>
    <w:semiHidden/>
    <w:unhideWhenUsed/>
    <w:qFormat/>
    <w:rsid w:val="00F85FA1"/>
    <w:rPr>
      <w:sz w:val="21"/>
      <w:szCs w:val="21"/>
    </w:rPr>
  </w:style>
  <w:style w:type="character" w:customStyle="1" w:styleId="1">
    <w:name w:val="批注文字 字符1"/>
    <w:link w:val="a3"/>
    <w:uiPriority w:val="99"/>
    <w:semiHidden/>
    <w:qFormat/>
    <w:locked/>
    <w:rsid w:val="00F85FA1"/>
    <w:rPr>
      <w:rFonts w:ascii="Times New Roman" w:eastAsia="方正仿宋简体" w:hAnsi="Times New Roman" w:cs="Times New Roman"/>
      <w:sz w:val="30"/>
      <w:szCs w:val="24"/>
    </w:rPr>
  </w:style>
  <w:style w:type="paragraph" w:styleId="a6">
    <w:name w:val="Balloon Text"/>
    <w:basedOn w:val="a"/>
    <w:link w:val="a7"/>
    <w:uiPriority w:val="99"/>
    <w:semiHidden/>
    <w:unhideWhenUsed/>
    <w:rsid w:val="00F85FA1"/>
    <w:rPr>
      <w:sz w:val="18"/>
      <w:szCs w:val="18"/>
    </w:rPr>
  </w:style>
  <w:style w:type="character" w:customStyle="1" w:styleId="a7">
    <w:name w:val="批注框文本 字符"/>
    <w:basedOn w:val="a0"/>
    <w:link w:val="a6"/>
    <w:uiPriority w:val="99"/>
    <w:semiHidden/>
    <w:rsid w:val="00F85FA1"/>
    <w:rPr>
      <w:rFonts w:ascii="Times New Roman" w:eastAsia="方正仿宋简体" w:hAnsi="Times New Roman" w:cs="Times New Roman"/>
      <w:sz w:val="18"/>
      <w:szCs w:val="18"/>
    </w:rPr>
  </w:style>
  <w:style w:type="paragraph" w:styleId="a8">
    <w:name w:val="header"/>
    <w:basedOn w:val="a"/>
    <w:link w:val="a9"/>
    <w:uiPriority w:val="99"/>
    <w:unhideWhenUsed/>
    <w:rsid w:val="0009009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9009C"/>
    <w:rPr>
      <w:rFonts w:ascii="Times New Roman" w:eastAsia="方正仿宋简体" w:hAnsi="Times New Roman" w:cs="Times New Roman"/>
      <w:sz w:val="18"/>
      <w:szCs w:val="18"/>
    </w:rPr>
  </w:style>
  <w:style w:type="paragraph" w:styleId="aa">
    <w:name w:val="footer"/>
    <w:basedOn w:val="a"/>
    <w:link w:val="ab"/>
    <w:uiPriority w:val="99"/>
    <w:unhideWhenUsed/>
    <w:rsid w:val="0009009C"/>
    <w:pPr>
      <w:tabs>
        <w:tab w:val="center" w:pos="4153"/>
        <w:tab w:val="right" w:pos="8306"/>
      </w:tabs>
      <w:snapToGrid w:val="0"/>
      <w:jc w:val="left"/>
    </w:pPr>
    <w:rPr>
      <w:sz w:val="18"/>
      <w:szCs w:val="18"/>
    </w:rPr>
  </w:style>
  <w:style w:type="character" w:customStyle="1" w:styleId="ab">
    <w:name w:val="页脚 字符"/>
    <w:basedOn w:val="a0"/>
    <w:link w:val="aa"/>
    <w:uiPriority w:val="99"/>
    <w:rsid w:val="0009009C"/>
    <w:rPr>
      <w:rFonts w:ascii="Times New Roman" w:eastAsia="方正仿宋简体" w:hAnsi="Times New Roman" w:cs="Times New Roman"/>
      <w:sz w:val="18"/>
      <w:szCs w:val="18"/>
    </w:rPr>
  </w:style>
  <w:style w:type="paragraph" w:customStyle="1" w:styleId="ac">
    <w:name w:val="投保基金公文正文"/>
    <w:basedOn w:val="a"/>
    <w:link w:val="ad"/>
    <w:qFormat/>
    <w:rsid w:val="003A1A24"/>
    <w:pPr>
      <w:spacing w:line="600" w:lineRule="exact"/>
      <w:ind w:firstLineChars="200" w:firstLine="200"/>
    </w:pPr>
    <w:rPr>
      <w:szCs w:val="30"/>
    </w:rPr>
  </w:style>
  <w:style w:type="character" w:customStyle="1" w:styleId="ad">
    <w:name w:val="投保基金公文正文 字符"/>
    <w:link w:val="ac"/>
    <w:rsid w:val="003A1A24"/>
    <w:rPr>
      <w:rFonts w:ascii="Times New Roman" w:eastAsia="方正仿宋简体"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4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hantao</dc:creator>
  <cp:keywords/>
  <dc:description/>
  <cp:lastModifiedBy>sipf</cp:lastModifiedBy>
  <cp:revision>6</cp:revision>
  <dcterms:created xsi:type="dcterms:W3CDTF">2021-05-12T00:36:00Z</dcterms:created>
  <dcterms:modified xsi:type="dcterms:W3CDTF">2021-05-13T03:15:00Z</dcterms:modified>
</cp:coreProperties>
</file>