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97" w:rsidRPr="00053B7C" w:rsidRDefault="00593097" w:rsidP="00593097">
      <w:pPr>
        <w:snapToGrid w:val="0"/>
        <w:spacing w:line="560" w:lineRule="exact"/>
        <w:jc w:val="left"/>
        <w:rPr>
          <w:rFonts w:ascii="仿宋_GB2312" w:eastAsia="仿宋_GB2312" w:hAnsi="仿宋" w:cs="Arial"/>
          <w:b/>
          <w:color w:val="000000"/>
          <w:sz w:val="30"/>
          <w:szCs w:val="30"/>
        </w:rPr>
      </w:pPr>
      <w:r w:rsidRPr="00053B7C">
        <w:rPr>
          <w:rFonts w:ascii="仿宋_GB2312" w:eastAsia="仿宋_GB2312" w:hAnsi="仿宋" w:cs="Arial" w:hint="eastAsia"/>
          <w:b/>
          <w:color w:val="000000"/>
          <w:sz w:val="30"/>
          <w:szCs w:val="30"/>
        </w:rPr>
        <w:t>附件9</w:t>
      </w:r>
    </w:p>
    <w:p w:rsidR="00593097" w:rsidRDefault="00593097" w:rsidP="00593097">
      <w:pPr>
        <w:spacing w:line="600" w:lineRule="exact"/>
        <w:rPr>
          <w:rFonts w:ascii="仿宋_GB2312" w:eastAsia="仿宋_GB2312"/>
          <w:b/>
          <w:sz w:val="30"/>
          <w:szCs w:val="30"/>
        </w:rPr>
      </w:pPr>
    </w:p>
    <w:p w:rsidR="00593097" w:rsidRDefault="00593097" w:rsidP="00593097">
      <w:pPr>
        <w:spacing w:line="540" w:lineRule="exact"/>
        <w:jc w:val="center"/>
        <w:rPr>
          <w:rFonts w:ascii="方正大标宋简体" w:eastAsia="方正大标宋简体" w:hAnsi="Calibri"/>
          <w:sz w:val="42"/>
          <w:szCs w:val="42"/>
        </w:rPr>
      </w:pPr>
      <w:r>
        <w:rPr>
          <w:rFonts w:ascii="方正大标宋简体" w:eastAsia="方正大标宋简体" w:hAnsi="Calibri" w:hint="eastAsia"/>
          <w:sz w:val="42"/>
          <w:szCs w:val="42"/>
        </w:rPr>
        <w:t>上海证券交易所债券市场投资者适当性管理办法</w:t>
      </w:r>
    </w:p>
    <w:p w:rsidR="00593097" w:rsidRPr="00053B7C" w:rsidRDefault="00593097" w:rsidP="00593097">
      <w:pPr>
        <w:spacing w:line="520" w:lineRule="exact"/>
        <w:jc w:val="center"/>
        <w:rPr>
          <w:rFonts w:ascii="仿宋_GB2312" w:eastAsia="仿宋_GB2312"/>
          <w:b/>
          <w:sz w:val="30"/>
          <w:szCs w:val="30"/>
        </w:rPr>
      </w:pPr>
      <w:r w:rsidRPr="00053B7C">
        <w:rPr>
          <w:rFonts w:ascii="仿宋_GB2312" w:eastAsia="仿宋_GB2312" w:hint="eastAsia"/>
          <w:b/>
          <w:sz w:val="30"/>
          <w:szCs w:val="30"/>
        </w:rPr>
        <w:t>（2021年修订）（征求意见稿）</w:t>
      </w:r>
    </w:p>
    <w:p w:rsidR="000C0B20" w:rsidRDefault="000C0B20" w:rsidP="00593097">
      <w:pPr>
        <w:spacing w:line="560" w:lineRule="exact"/>
        <w:ind w:firstLineChars="200" w:firstLine="602"/>
        <w:jc w:val="center"/>
        <w:rPr>
          <w:rFonts w:ascii="黑体" w:eastAsia="黑体" w:hAnsi="Calibri"/>
          <w:b/>
          <w:sz w:val="30"/>
          <w:szCs w:val="30"/>
        </w:rPr>
      </w:pPr>
    </w:p>
    <w:p w:rsidR="00593097" w:rsidRPr="00F85D76" w:rsidRDefault="00593097" w:rsidP="00593097">
      <w:pPr>
        <w:spacing w:line="560" w:lineRule="exact"/>
        <w:ind w:firstLineChars="200" w:firstLine="602"/>
        <w:jc w:val="center"/>
        <w:rPr>
          <w:rFonts w:ascii="黑体" w:eastAsia="黑体" w:hAnsi="Calibri"/>
          <w:b/>
          <w:sz w:val="30"/>
          <w:szCs w:val="30"/>
        </w:rPr>
      </w:pPr>
      <w:r w:rsidRPr="00B12356">
        <w:rPr>
          <w:rFonts w:ascii="黑体" w:eastAsia="黑体" w:hAnsi="Calibri" w:hint="eastAsia"/>
          <w:b/>
          <w:sz w:val="30"/>
          <w:szCs w:val="30"/>
        </w:rPr>
        <w:t>第一章  总则</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第一条 为保护投资者合法权益，引导投资者理性参与债券市场，促进债券市场健康稳定发展，根据《中华人民共和国证券法》《证券期货投资者适当性管理办法》《公司债券发行与交易管理办法》（以下分别简称《证券法》《投资者适当性管理办法》《公司债券管理办法》）等法律、行政法规、部门规章、规范性文件及上海证券交易所（以下简称本所）相关业务规则，制定本办法。</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第二条 本办法所称债券市场投资者适当性管理，是指对不同特征和风险水平的公司债券、企业债券、资产支持证券等（以下统称债券）的发行认购、上市交易及挂牌转让做出分类，并区别不同产品风险和风险承受能力的投资者，引导其参与相应类型债券认购、交易及转让（以下统称交易）的制度安排。</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本所上市公司向不特定对象发行的可转换公司债券，以及向特定对象发行的可转换公司债券的投资者适当性管理，由相关业务规则另行规定。</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第三条 从事债券经纪业务的本所会员、债券承销机构和其他证券经营机构（以下统称证券经营机构）应当了解和评估客户的风险识别与承受能力，建立以分类管理为核心的客户管理和服</w:t>
      </w:r>
      <w:r w:rsidRPr="000C0B20">
        <w:rPr>
          <w:rFonts w:ascii="仿宋_GB2312" w:eastAsia="仿宋_GB2312" w:hAnsi="Calibri" w:hint="eastAsia"/>
          <w:sz w:val="30"/>
          <w:szCs w:val="30"/>
        </w:rPr>
        <w:lastRenderedPageBreak/>
        <w:t>务制度，选择适当的投资者参与相应类型的债券认购、交易，切实履行投资者适当性管理职责。</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第四条 投资者参与本所债券市场，应当全面评估自身的经济实力、产品风险识别能力、风险控制与承受能力，进行独立的投资判断，知悉并自行承担债券市场投资风险。</w:t>
      </w:r>
    </w:p>
    <w:p w:rsidR="000C0B20" w:rsidRPr="000C0B20" w:rsidRDefault="000C0B20" w:rsidP="000C0B20">
      <w:pPr>
        <w:spacing w:line="560" w:lineRule="exact"/>
        <w:ind w:firstLineChars="200" w:firstLine="602"/>
        <w:jc w:val="center"/>
        <w:rPr>
          <w:rFonts w:ascii="黑体" w:eastAsia="黑体" w:hAnsi="Calibri"/>
          <w:b/>
          <w:sz w:val="30"/>
          <w:szCs w:val="30"/>
        </w:rPr>
      </w:pPr>
      <w:r w:rsidRPr="000C0B20">
        <w:rPr>
          <w:rFonts w:ascii="黑体" w:eastAsia="黑体" w:hAnsi="Calibri" w:hint="eastAsia"/>
          <w:b/>
          <w:sz w:val="30"/>
          <w:szCs w:val="30"/>
        </w:rPr>
        <w:t>第二章 投资者适当性标准</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第五条 债券市场投资者按照财产状况、金融资产状况、投资知识和经验、专业能力等因素，分为专业投资者和普通投资者。</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第六条 专业投资者应当符合下列条件：</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一）经有关金融监管部门批准设立的金融机构，包括证券公司、期货公司、基金管理公司及其子公司、商业银行及其理财子公司、保险公司、信托公司、财务公司等；经行业协会备案或者登记的证券公司子公司、期货公司子公司、私募基金管理人。</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（二）上述机构面向投资者发行的理财产品，包括但不限于证券公司资产管理产品、基金管理公司及其子公司产品、期货公司资产管理产品、银行理财产品、保险产品、信托产品、经行业协会备案的私募基金。</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（三）社会保障基金、企业年金等养老基金，慈善基金等社会公益基金，合格境外机构投资者（QFII）、人民币合格境外机构投资者（RQFII）。</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（四）同时符合下列条件的法人或者其他组织：</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1.最近1年末净资产不低于2000万元；</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2.最近1年末金融资产不低于1000万元；</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3.具有2年以上证券、基金、期货、黄金、外汇等投资经历。</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lastRenderedPageBreak/>
        <w:t>（五）同时符合下列条件的个人：</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1.申请资格认定前20个交易日名下金融资产日均不低于500万元，或者最近3年个人年均收入不低于50万元；</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 xml:space="preserve">2.具有2年以上证券、基金、期货、黄金、外汇等投资经历，或者具有2年以上金融产品设计、投资、风险管理及相关工作经历，或者属于本条第（一）项规定的专业投资者的高级管理人员、获得职业资格认证的从事金融相关业务的注册会计师和律师。 </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（六）中国证监会和本所认可的其他投资者。</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前款所称金融资产，是指银行存款、股票、存托凭证、债券、基金份额、资产管理计划、银行理财产品、信托计划、保险产品、期货及其他衍生产品等。</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第七条 专业投资者之外的投资者为普通投资者。</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第八条 专业投资者可以认购及交易在本所上市交易或者挂牌转让的全部债券，但下列债券仅限专业投资者中的机构投资者认购及交易：</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（一）依据《公司债券管理办法》第十六条面向普通投资者公开发行的公司债券以外的其他公司债券；</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（二）企业债券；</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（三）资产支持证券；</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（四）本所认可的其他仅限专业投资者中的机构投资者认购及交易的债券。</w:t>
      </w:r>
    </w:p>
    <w:p w:rsidR="00E90BDF"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发行人的董事、监事、高级管理人员及持股比例超过5%的股东认购及交易该发行人发行的公司债券，资产支持证券原始权益人及其关联方认购及交易相应的资产支持证券,不受本办法第</w:t>
      </w:r>
      <w:r w:rsidRPr="000C0B20">
        <w:rPr>
          <w:rFonts w:ascii="仿宋_GB2312" w:eastAsia="仿宋_GB2312" w:hAnsi="Calibri" w:hint="eastAsia"/>
          <w:sz w:val="30"/>
          <w:szCs w:val="30"/>
        </w:rPr>
        <w:lastRenderedPageBreak/>
        <w:t>六条规定的专业投资者条件的限制。</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承销机构可以参与其承销的债券的认购及交易，但其自营、资产管理及投资顾问等不同业务类型下的债券业务应按照相关规定分开办理，实行严格分离，切实防范利益冲突。</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第九条 普通投资者可以认购及交易在本所上市的下列债券：</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（一）国债；</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（二）地方政府债券；</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（三）政策性银行金融债券；</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（四）政府支持机构债券；</w:t>
      </w:r>
    </w:p>
    <w:p w:rsidR="000C0B20" w:rsidRPr="000C0B20" w:rsidRDefault="002B47BF" w:rsidP="000C0B20">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（五）资信状况符合《公司债券管理办法》第十六条</w:t>
      </w:r>
      <w:r w:rsidR="000C0B20" w:rsidRPr="000C0B20">
        <w:rPr>
          <w:rFonts w:ascii="仿宋_GB2312" w:eastAsia="仿宋_GB2312" w:hAnsi="Calibri" w:hint="eastAsia"/>
          <w:sz w:val="30"/>
          <w:szCs w:val="30"/>
        </w:rPr>
        <w:t>规定标准的公开发行的公司债券；</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（六）本所认可的其他债券品种。</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第十条 因继承、赠与、企业分立等非交易行为，普通投资者获得仅限专业投资者参与认购及交易的债券或者专业投资者中的个人投资者获得仅限机构投资者参与认购及交易的债券的，可以选择持有到期或者卖出债券，不得另行买入。</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 xml:space="preserve">第十一条 在本所上市交易或者挂牌转让的债券，发生下列情形之一的，发行人、受托管理人或者具有同等职责的机构应当及时发布公告提示投资风险，自该情形披露之日起，仅本办法规定的专业投资者中的机构投资者可以买入该债券： </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（一）发行人最近一个会计年度经审计的财务报告显示为亏损，或者经更正的财务报告显示为亏损；</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（二）发行人发生严重违反法律、行政法规、部门规章或者合同约定的行为，或者被证券监督管理部门立案调查，严重影响</w:t>
      </w:r>
      <w:r w:rsidRPr="000C0B20">
        <w:rPr>
          <w:rFonts w:ascii="仿宋_GB2312" w:eastAsia="仿宋_GB2312" w:hAnsi="Calibri" w:hint="eastAsia"/>
          <w:sz w:val="30"/>
          <w:szCs w:val="30"/>
        </w:rPr>
        <w:lastRenderedPageBreak/>
        <w:t>其偿债能力；</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（三）</w:t>
      </w:r>
      <w:r w:rsidR="00AA5289">
        <w:rPr>
          <w:rFonts w:ascii="仿宋_GB2312" w:eastAsia="仿宋_GB2312" w:hAnsi="Calibri" w:hint="eastAsia"/>
          <w:sz w:val="30"/>
          <w:szCs w:val="30"/>
        </w:rPr>
        <w:t>发行人发生债务违约或者延迟支付本息事件</w:t>
      </w:r>
      <w:r w:rsidRPr="000C0B20">
        <w:rPr>
          <w:rFonts w:ascii="仿宋_GB2312" w:eastAsia="仿宋_GB2312" w:hAnsi="Calibri" w:hint="eastAsia"/>
          <w:sz w:val="30"/>
          <w:szCs w:val="30"/>
        </w:rPr>
        <w:t>；</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（四）发行人发行的公司信用类债券价格出现较大负面波动；</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（五）发行人发生严重影响其偿债能力的其他重大事项，导致债券偿付存在重大不确定性；</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（六）发行人发生其他影响投资者权益保护的负面情形。</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发行人、受托管理人或者具有同等职责的机构未按前款要求发布公告的，本所可以根据实际情况，调整债券的投资者适当性管理要求。</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 xml:space="preserve">第十二条 </w:t>
      </w:r>
      <w:r w:rsidR="00D84469">
        <w:rPr>
          <w:rFonts w:ascii="仿宋_GB2312" w:eastAsia="仿宋_GB2312" w:hAnsi="Calibri" w:hint="eastAsia"/>
          <w:sz w:val="30"/>
          <w:szCs w:val="30"/>
        </w:rPr>
        <w:t>专业投资者可以参与本所国债预发行交易。</w:t>
      </w:r>
      <w:r w:rsidRPr="000C0B20">
        <w:rPr>
          <w:rFonts w:ascii="仿宋_GB2312" w:eastAsia="仿宋_GB2312" w:hAnsi="Calibri" w:hint="eastAsia"/>
          <w:sz w:val="30"/>
          <w:szCs w:val="30"/>
        </w:rPr>
        <w:t>专业投资者中的机构投资者可以参与债券质押式回购的融资交易、债券质押式三方回购和债券质押式协议回购的融资和融券交易。专业投资者及普通投资者可以参与本所债券质押式回购的融券交易。</w:t>
      </w:r>
    </w:p>
    <w:p w:rsidR="000C0B20" w:rsidRPr="000C0B20" w:rsidRDefault="000C0B20" w:rsidP="000C0B20">
      <w:pPr>
        <w:spacing w:line="560" w:lineRule="exact"/>
        <w:ind w:firstLineChars="200" w:firstLine="602"/>
        <w:jc w:val="center"/>
        <w:rPr>
          <w:rFonts w:ascii="黑体" w:eastAsia="黑体" w:hAnsi="Calibri"/>
          <w:b/>
          <w:sz w:val="30"/>
          <w:szCs w:val="30"/>
        </w:rPr>
      </w:pPr>
      <w:r w:rsidRPr="000C0B20">
        <w:rPr>
          <w:rFonts w:ascii="黑体" w:eastAsia="黑体" w:hAnsi="Calibri" w:hint="eastAsia"/>
          <w:b/>
          <w:sz w:val="30"/>
          <w:szCs w:val="30"/>
        </w:rPr>
        <w:t>第三章 投资者适当性管理</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 xml:space="preserve">第十三条 发行人、证券经营机构应当依照《公司债券管理办法》《投资者适当性管理办法》《上海证券交易所投资者适当性管理办法》、本办法及相关行业协会自律规则规定，采取有效措施，确保债券投资者符合本所投资者适当性管理规定，并确认债券投资者具有债券投资的风险识别能力和承受能力。 </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第十四条 证券经营机构评估债券投资者风险识别和承受能力并告知不适合购买相关债券后，债券投资者仍要求购买的，证券经营机构应当确认其不属于风险承受能力最低类别的投资者，并进一步了解其投资的资金来源，投资损失后的损失计提、核销</w:t>
      </w:r>
      <w:r w:rsidRPr="000C0B20">
        <w:rPr>
          <w:rFonts w:ascii="仿宋_GB2312" w:eastAsia="仿宋_GB2312" w:hAnsi="Calibri" w:hint="eastAsia"/>
          <w:sz w:val="30"/>
          <w:szCs w:val="30"/>
        </w:rPr>
        <w:lastRenderedPageBreak/>
        <w:t>等损失承担方式，告知相关债券特别的风险点，就该债券风险高于其承受能力进行特别的书面风险警示。投资者仍坚持购买的，证券经营机构可以向其销售相关产品或者提供相关服务，也可以暂缓向其销售产品或者提供服务，给予其更多的考虑时间，或者增加回访频次等。</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 xml:space="preserve">第十五条 证券经营机构应当对投资者参与债券交易的权限进行分类管理，并通过系统前端控制等方式对客户的债券交易委托指令进行管理，对不符合交易权限的交易委托予以拒绝。  </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第十六条 证券经营机构应当建立债券市场投资者适当性管理制度，采取多种方式和途径开展投资者教育，帮助投资者熟悉本所债券市场的产品及相关规则，提示参与债券认购、交易可能面临的风险。</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第十七条 证券经营机构应当建立债券市场投资者适当性管理档案，记载客户开户时间、资产规模、信用状况以及风险承受能力等信息，并妥善保管相关资料。</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第十八条 证券经营机构在销售债券产品或者提供相关服务时，应根据《投资者适当性管理办法》的规定，在信息告知、风险警示、适当性匹配等方面履行对普通投资者的特别保护义务。</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第十九条 证券经营机构应当根据相关规定和债券品种的风险特征、投资者风险识别能力和承受能力等实际情况制定债券市场投资者风险揭示书。风险揭示书可以采用纸面或者电子形式，但应当由投资者本人签署或者盖章。</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直接持有或者租用本所交易单元的专业投资者无须签署风险揭示书。</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lastRenderedPageBreak/>
        <w:t>第二十条 申请人符合专业投资者条件的，证券经营机构应当填写专业投资者资格确认表，并于为申请人开通专业投资者相关认购及交易权限的当日，通过本所网站相关专区提交专业投资者账户名单。</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直接持有或者租用本所交易单元的专业投资者在参与债券认购及交易前，需通过本所网站相关专区提交账户名单。</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第二十一条 证券经营机构应当动态跟踪和持续了解专业投资者条件，至少每两年对投资者进行一次后续资格评估，根据评估情况更新专业投资者名单，并于当日通过本所网站提交更新的专业投资者账户名单。</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 xml:space="preserve">第二十二条 </w:t>
      </w:r>
      <w:r w:rsidR="008F2745">
        <w:rPr>
          <w:rFonts w:ascii="仿宋_GB2312" w:eastAsia="仿宋_GB2312" w:hAnsi="Calibri" w:hint="eastAsia"/>
          <w:sz w:val="30"/>
          <w:szCs w:val="30"/>
        </w:rPr>
        <w:t>可参与债券交易的投资者范围根据本所相关业务规则规定和本办法第十一</w:t>
      </w:r>
      <w:r w:rsidRPr="000C0B20">
        <w:rPr>
          <w:rFonts w:ascii="仿宋_GB2312" w:eastAsia="仿宋_GB2312" w:hAnsi="Calibri" w:hint="eastAsia"/>
          <w:sz w:val="30"/>
          <w:szCs w:val="30"/>
        </w:rPr>
        <w:t>条规定进行调整的，证券经营机构应当在调整事项披露日及时调整投资者参与该债券交易的权限，履行投资者适当性管理职责。</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第二十三条 证券经营机构应当根据本所相关规则对客户的债券认购及交易活动进行督导，发现存在异常行为和涉嫌违法违规行为的，应当采取有效手段及时制止，并及时向本所报告。</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第二十四条 本所可以对证券经营机构的投资者适当性管理制度及向本所报备的专业投资者名单进行检查。证券经营机构应当配合本所的检查，如实提供相关资料。本所发现有不符合专业投资者条件的，可以要求证券经营机构调整专业投资者名单。</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第二十五条 投资者应当配合证券经营机构的投资者适当性管理工作，如实提供有效证明资料，不得采用提供虚假材料等手段规避投资者适当性管理要求。投资者所提供的信息发生重要变</w:t>
      </w:r>
      <w:r w:rsidRPr="000C0B20">
        <w:rPr>
          <w:rFonts w:ascii="仿宋_GB2312" w:eastAsia="仿宋_GB2312" w:hAnsi="Calibri" w:hint="eastAsia"/>
          <w:sz w:val="30"/>
          <w:szCs w:val="30"/>
        </w:rPr>
        <w:lastRenderedPageBreak/>
        <w:t>化、可能影响其分类的，应当及时告知证券经营机构。</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投资者不按照规定提供相关信息，提供信息不真实、不准确、不完整的，应当依法承担相应法律责任，证券经营机构应当告知其后果，并拒绝向其销售产品或者提供服务。</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投资者不得以不符合投资者适当性标准为由拒绝承担认购和交易债券的履约责任。</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第二十六条 证券经营机构应当妥善处理适当性相关纠纷。投资者与证券公司发生纠纷的，双方可以向投资者保护机构申请调解。普通投资者提出调解请求的，证券公司不得拒绝。</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普通投资者与证券公司发生适当性纠纷的，证券公司应当证明其行为符合法律、行政法规以及国务院证券监督管理机构的规定，不存在误导、欺诈等情形。</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第二十七条 发行人、证券经营机构违反投资者适当性管理要求的，本所可以根据相关规定实施自律监管措施和纪律处分。</w:t>
      </w:r>
    </w:p>
    <w:p w:rsidR="000C0B20" w:rsidRPr="000C0B20" w:rsidRDefault="000C0B20" w:rsidP="000C0B20">
      <w:pPr>
        <w:spacing w:line="560" w:lineRule="exact"/>
        <w:ind w:firstLineChars="200" w:firstLine="602"/>
        <w:jc w:val="center"/>
        <w:rPr>
          <w:rFonts w:ascii="黑体" w:eastAsia="黑体" w:hAnsi="Calibri"/>
          <w:b/>
          <w:sz w:val="30"/>
          <w:szCs w:val="30"/>
        </w:rPr>
      </w:pPr>
      <w:r w:rsidRPr="000C0B20">
        <w:rPr>
          <w:rFonts w:ascii="黑体" w:eastAsia="黑体" w:hAnsi="Calibri" w:hint="eastAsia"/>
          <w:b/>
          <w:sz w:val="30"/>
          <w:szCs w:val="30"/>
        </w:rPr>
        <w:t>第四章 附则</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第二十八条 本所可以根据市场发展情况，调整专业投资者和普通投资者参与认购及交易的债券产品范围。法律、行政法规、规章及本所对投资者适当性另有规定的，从其规定。</w:t>
      </w:r>
    </w:p>
    <w:p w:rsidR="000C0B20" w:rsidRP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第二十九条 本办法由本所负责解释。</w:t>
      </w:r>
    </w:p>
    <w:p w:rsidR="000C0B20" w:rsidRDefault="000C0B20" w:rsidP="000C0B20">
      <w:pPr>
        <w:spacing w:line="560" w:lineRule="exact"/>
        <w:ind w:firstLineChars="200" w:firstLine="600"/>
        <w:rPr>
          <w:rFonts w:ascii="仿宋_GB2312" w:eastAsia="仿宋_GB2312" w:hAnsi="Calibri"/>
          <w:sz w:val="30"/>
          <w:szCs w:val="30"/>
        </w:rPr>
      </w:pPr>
      <w:r w:rsidRPr="000C0B20">
        <w:rPr>
          <w:rFonts w:ascii="仿宋_GB2312" w:eastAsia="仿宋_GB2312" w:hAnsi="Calibri" w:hint="eastAsia"/>
          <w:sz w:val="30"/>
          <w:szCs w:val="30"/>
        </w:rPr>
        <w:t>第三十条</w:t>
      </w:r>
      <w:r>
        <w:rPr>
          <w:rFonts w:ascii="仿宋_GB2312" w:eastAsia="仿宋_GB2312" w:hAnsi="Calibri" w:hint="eastAsia"/>
          <w:sz w:val="30"/>
          <w:szCs w:val="30"/>
        </w:rPr>
        <w:t xml:space="preserve"> </w:t>
      </w:r>
      <w:r w:rsidRPr="000C0B20">
        <w:rPr>
          <w:rFonts w:ascii="仿宋_GB2312" w:eastAsia="仿宋_GB2312" w:hAnsi="Calibri" w:hint="eastAsia"/>
          <w:sz w:val="30"/>
          <w:szCs w:val="30"/>
        </w:rPr>
        <w:t>本办法自2021年</w:t>
      </w:r>
      <w:r w:rsidR="00363EC3">
        <w:rPr>
          <w:rFonts w:ascii="仿宋_GB2312" w:eastAsia="仿宋_GB2312" w:hAnsi="Calibri" w:hint="eastAsia"/>
          <w:sz w:val="30"/>
          <w:szCs w:val="30"/>
        </w:rPr>
        <w:t>X</w:t>
      </w:r>
      <w:r w:rsidRPr="000C0B20">
        <w:rPr>
          <w:rFonts w:ascii="仿宋_GB2312" w:eastAsia="仿宋_GB2312" w:hAnsi="Calibri" w:hint="eastAsia"/>
          <w:sz w:val="30"/>
          <w:szCs w:val="30"/>
        </w:rPr>
        <w:t>月</w:t>
      </w:r>
      <w:r w:rsidR="00363EC3">
        <w:rPr>
          <w:rFonts w:ascii="仿宋_GB2312" w:eastAsia="仿宋_GB2312" w:hAnsi="Calibri" w:hint="eastAsia"/>
          <w:sz w:val="30"/>
          <w:szCs w:val="30"/>
        </w:rPr>
        <w:t>X</w:t>
      </w:r>
      <w:r w:rsidRPr="000C0B20">
        <w:rPr>
          <w:rFonts w:ascii="仿宋_GB2312" w:eastAsia="仿宋_GB2312" w:hAnsi="Calibri" w:hint="eastAsia"/>
          <w:sz w:val="30"/>
          <w:szCs w:val="30"/>
        </w:rPr>
        <w:t>日起实施。</w:t>
      </w:r>
    </w:p>
    <w:p w:rsidR="000C0B20" w:rsidRDefault="000C0B20" w:rsidP="00593097">
      <w:pPr>
        <w:spacing w:line="560" w:lineRule="exact"/>
        <w:ind w:firstLineChars="200" w:firstLine="600"/>
        <w:rPr>
          <w:rFonts w:ascii="仿宋_GB2312" w:eastAsia="仿宋_GB2312" w:hAnsi="Calibri"/>
          <w:sz w:val="30"/>
          <w:szCs w:val="30"/>
        </w:rPr>
      </w:pPr>
    </w:p>
    <w:p w:rsidR="00D94A24" w:rsidRPr="00593097" w:rsidRDefault="00D94A24"/>
    <w:sectPr w:rsidR="00D94A24" w:rsidRPr="00593097" w:rsidSect="00294C2B">
      <w:footerReference w:type="even" r:id="rId6"/>
      <w:foot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2D5" w:rsidRDefault="00AB52D5" w:rsidP="00593097">
      <w:r>
        <w:separator/>
      </w:r>
    </w:p>
  </w:endnote>
  <w:endnote w:type="continuationSeparator" w:id="0">
    <w:p w:rsidR="00AB52D5" w:rsidRDefault="00AB52D5" w:rsidP="005930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15B" w:rsidRDefault="00AB52D5">
    <w:pPr>
      <w:pStyle w:val="a4"/>
      <w:framePr w:wrap="around" w:vAnchor="text" w:hAnchor="margin" w:xAlign="center" w:y="1"/>
      <w:rPr>
        <w:rStyle w:val="a5"/>
      </w:rPr>
    </w:pPr>
  </w:p>
  <w:p w:rsidR="0041115B" w:rsidRDefault="0066232B">
    <w:pPr>
      <w:pStyle w:val="a4"/>
    </w:pPr>
    <w:r>
      <w:rPr>
        <w:rFonts w:ascii="仿宋_GB2312" w:eastAsia="仿宋_GB2312" w:hint="eastAsia"/>
        <w:bCs/>
        <w:sz w:val="28"/>
      </w:rPr>
      <w:t>－</w:t>
    </w:r>
    <w:r w:rsidR="0054488F">
      <w:rPr>
        <w:sz w:val="28"/>
      </w:rPr>
      <w:fldChar w:fldCharType="begin"/>
    </w:r>
    <w:r>
      <w:rPr>
        <w:sz w:val="28"/>
      </w:rPr>
      <w:instrText xml:space="preserve"> PAGE </w:instrText>
    </w:r>
    <w:r w:rsidR="0054488F">
      <w:rPr>
        <w:sz w:val="28"/>
      </w:rPr>
      <w:fldChar w:fldCharType="separate"/>
    </w:r>
    <w:r>
      <w:rPr>
        <w:noProof/>
        <w:sz w:val="28"/>
      </w:rPr>
      <w:t>8</w:t>
    </w:r>
    <w:r w:rsidR="0054488F">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15B" w:rsidRDefault="00AB52D5">
    <w:pPr>
      <w:pStyle w:val="a4"/>
      <w:framePr w:wrap="around" w:vAnchor="text" w:hAnchor="margin" w:xAlign="center" w:y="1"/>
      <w:jc w:val="center"/>
      <w:rPr>
        <w:rStyle w:val="a5"/>
      </w:rPr>
    </w:pPr>
  </w:p>
  <w:p w:rsidR="0041115B" w:rsidRDefault="0066232B">
    <w:pPr>
      <w:pStyle w:val="a4"/>
      <w:jc w:val="right"/>
    </w:pPr>
    <w:r>
      <w:rPr>
        <w:rFonts w:ascii="仿宋_GB2312" w:eastAsia="仿宋_GB2312" w:hint="eastAsia"/>
        <w:bCs/>
        <w:sz w:val="28"/>
      </w:rPr>
      <w:t>－</w:t>
    </w:r>
    <w:r w:rsidR="0054488F">
      <w:rPr>
        <w:sz w:val="28"/>
      </w:rPr>
      <w:fldChar w:fldCharType="begin"/>
    </w:r>
    <w:r>
      <w:rPr>
        <w:sz w:val="28"/>
      </w:rPr>
      <w:instrText xml:space="preserve"> PAGE </w:instrText>
    </w:r>
    <w:r w:rsidR="0054488F">
      <w:rPr>
        <w:sz w:val="28"/>
      </w:rPr>
      <w:fldChar w:fldCharType="separate"/>
    </w:r>
    <w:r w:rsidR="00363EC3">
      <w:rPr>
        <w:noProof/>
        <w:sz w:val="28"/>
      </w:rPr>
      <w:t>8</w:t>
    </w:r>
    <w:r w:rsidR="0054488F">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2D5" w:rsidRDefault="00AB52D5" w:rsidP="00593097">
      <w:r>
        <w:separator/>
      </w:r>
    </w:p>
  </w:footnote>
  <w:footnote w:type="continuationSeparator" w:id="0">
    <w:p w:rsidR="00AB52D5" w:rsidRDefault="00AB52D5" w:rsidP="005930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bordersDoNotSurroundHeader/>
  <w:bordersDoNotSurroundFooter/>
  <w:proofState w:spelling="clean" w:grammar="clean"/>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3097"/>
    <w:rsid w:val="000C0B20"/>
    <w:rsid w:val="000F170D"/>
    <w:rsid w:val="00294C2B"/>
    <w:rsid w:val="002B47BF"/>
    <w:rsid w:val="00363EC3"/>
    <w:rsid w:val="003F4021"/>
    <w:rsid w:val="0054488F"/>
    <w:rsid w:val="00593097"/>
    <w:rsid w:val="0066232B"/>
    <w:rsid w:val="00744EBC"/>
    <w:rsid w:val="008F2745"/>
    <w:rsid w:val="009C210C"/>
    <w:rsid w:val="00AA5289"/>
    <w:rsid w:val="00AB52D5"/>
    <w:rsid w:val="00C23842"/>
    <w:rsid w:val="00C73CCB"/>
    <w:rsid w:val="00CE725E"/>
    <w:rsid w:val="00D65E59"/>
    <w:rsid w:val="00D84469"/>
    <w:rsid w:val="00D94A24"/>
    <w:rsid w:val="00E03554"/>
    <w:rsid w:val="00E66032"/>
    <w:rsid w:val="00E90BDF"/>
    <w:rsid w:val="00EF6D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09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30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93097"/>
    <w:rPr>
      <w:sz w:val="18"/>
      <w:szCs w:val="18"/>
    </w:rPr>
  </w:style>
  <w:style w:type="paragraph" w:styleId="a4">
    <w:name w:val="footer"/>
    <w:basedOn w:val="a"/>
    <w:link w:val="Char0"/>
    <w:uiPriority w:val="99"/>
    <w:unhideWhenUsed/>
    <w:rsid w:val="005930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93097"/>
    <w:rPr>
      <w:sz w:val="18"/>
      <w:szCs w:val="18"/>
    </w:rPr>
  </w:style>
  <w:style w:type="character" w:styleId="a5">
    <w:name w:val="page number"/>
    <w:basedOn w:val="a0"/>
    <w:rsid w:val="00593097"/>
  </w:style>
  <w:style w:type="character" w:styleId="a6">
    <w:name w:val="annotation reference"/>
    <w:basedOn w:val="a0"/>
    <w:uiPriority w:val="99"/>
    <w:semiHidden/>
    <w:unhideWhenUsed/>
    <w:rsid w:val="00D65E59"/>
    <w:rPr>
      <w:sz w:val="21"/>
      <w:szCs w:val="21"/>
    </w:rPr>
  </w:style>
  <w:style w:type="paragraph" w:styleId="a7">
    <w:name w:val="annotation text"/>
    <w:basedOn w:val="a"/>
    <w:link w:val="Char1"/>
    <w:uiPriority w:val="99"/>
    <w:semiHidden/>
    <w:unhideWhenUsed/>
    <w:rsid w:val="00D65E59"/>
    <w:pPr>
      <w:jc w:val="left"/>
    </w:pPr>
  </w:style>
  <w:style w:type="character" w:customStyle="1" w:styleId="Char1">
    <w:name w:val="批注文字 Char"/>
    <w:basedOn w:val="a0"/>
    <w:link w:val="a7"/>
    <w:uiPriority w:val="99"/>
    <w:semiHidden/>
    <w:rsid w:val="00D65E59"/>
    <w:rPr>
      <w:rFonts w:ascii="Times New Roman" w:eastAsia="宋体" w:hAnsi="Times New Roman" w:cs="Times New Roman"/>
      <w:szCs w:val="20"/>
    </w:rPr>
  </w:style>
  <w:style w:type="paragraph" w:styleId="a8">
    <w:name w:val="annotation subject"/>
    <w:basedOn w:val="a7"/>
    <w:next w:val="a7"/>
    <w:link w:val="Char2"/>
    <w:uiPriority w:val="99"/>
    <w:semiHidden/>
    <w:unhideWhenUsed/>
    <w:rsid w:val="00D65E59"/>
    <w:rPr>
      <w:b/>
      <w:bCs/>
    </w:rPr>
  </w:style>
  <w:style w:type="character" w:customStyle="1" w:styleId="Char2">
    <w:name w:val="批注主题 Char"/>
    <w:basedOn w:val="Char1"/>
    <w:link w:val="a8"/>
    <w:uiPriority w:val="99"/>
    <w:semiHidden/>
    <w:rsid w:val="00D65E59"/>
    <w:rPr>
      <w:b/>
      <w:bCs/>
    </w:rPr>
  </w:style>
  <w:style w:type="paragraph" w:styleId="a9">
    <w:name w:val="Balloon Text"/>
    <w:basedOn w:val="a"/>
    <w:link w:val="Char3"/>
    <w:uiPriority w:val="99"/>
    <w:semiHidden/>
    <w:unhideWhenUsed/>
    <w:rsid w:val="00D65E59"/>
    <w:rPr>
      <w:sz w:val="18"/>
      <w:szCs w:val="18"/>
    </w:rPr>
  </w:style>
  <w:style w:type="character" w:customStyle="1" w:styleId="Char3">
    <w:name w:val="批注框文本 Char"/>
    <w:basedOn w:val="a0"/>
    <w:link w:val="a9"/>
    <w:uiPriority w:val="99"/>
    <w:semiHidden/>
    <w:rsid w:val="00D65E59"/>
    <w:rPr>
      <w:rFonts w:ascii="Times New Roman" w:eastAsia="宋体" w:hAnsi="Times New Roman" w:cs="Times New Roman"/>
      <w:sz w:val="18"/>
      <w:szCs w:val="18"/>
    </w:rPr>
  </w:style>
  <w:style w:type="paragraph" w:styleId="aa">
    <w:name w:val="Revision"/>
    <w:hidden/>
    <w:uiPriority w:val="99"/>
    <w:semiHidden/>
    <w:rsid w:val="00363EC3"/>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2</TotalTime>
  <Pages>8</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王奇全(拟稿)</dc:creator>
  <cp:lastModifiedBy>朱峰(拟稿)</cp:lastModifiedBy>
  <cp:revision>5</cp:revision>
  <cp:lastPrinted>2021-04-15T07:33:00Z</cp:lastPrinted>
  <dcterms:created xsi:type="dcterms:W3CDTF">2021-04-21T10:15:00Z</dcterms:created>
  <dcterms:modified xsi:type="dcterms:W3CDTF">2021-05-18T02:20:00Z</dcterms:modified>
</cp:coreProperties>
</file>