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9" w:name="_GoBack"/>
      <w:bookmarkEnd w:id="29"/>
    </w:p>
    <w:p>
      <w:pPr>
        <w:spacing w:line="560" w:lineRule="exact"/>
        <w:jc w:val="center"/>
        <w:rPr>
          <w:rFonts w:hAnsi="黑体" w:eastAsia="黑体"/>
          <w:b/>
          <w:sz w:val="42"/>
          <w:szCs w:val="42"/>
        </w:rPr>
      </w:pPr>
    </w:p>
    <w:p>
      <w:pPr>
        <w:spacing w:line="560" w:lineRule="exact"/>
        <w:jc w:val="center"/>
        <w:rPr>
          <w:rFonts w:hAnsi="黑体" w:eastAsia="黑体"/>
          <w:b/>
          <w:sz w:val="42"/>
          <w:szCs w:val="42"/>
        </w:rPr>
      </w:pPr>
    </w:p>
    <w:p>
      <w:pPr>
        <w:spacing w:line="560" w:lineRule="exact"/>
        <w:jc w:val="center"/>
        <w:rPr>
          <w:rFonts w:hAnsi="黑体" w:eastAsia="黑体"/>
          <w:b/>
          <w:sz w:val="42"/>
          <w:szCs w:val="42"/>
        </w:rPr>
      </w:pPr>
    </w:p>
    <w:p>
      <w:pPr>
        <w:spacing w:line="560" w:lineRule="exact"/>
        <w:jc w:val="center"/>
        <w:rPr>
          <w:rFonts w:hAnsi="黑体" w:eastAsia="黑体"/>
          <w:b/>
          <w:sz w:val="42"/>
          <w:szCs w:val="42"/>
        </w:rPr>
      </w:pPr>
    </w:p>
    <w:p>
      <w:pPr>
        <w:spacing w:line="560" w:lineRule="exact"/>
        <w:jc w:val="center"/>
        <w:rPr>
          <w:rFonts w:hAnsi="黑体" w:eastAsia="黑体"/>
          <w:b/>
          <w:sz w:val="42"/>
          <w:szCs w:val="42"/>
        </w:rPr>
      </w:pPr>
      <w:r>
        <w:rPr>
          <w:rFonts w:hint="eastAsia" w:hAnsi="黑体" w:eastAsia="黑体"/>
          <w:b/>
          <w:sz w:val="42"/>
          <w:szCs w:val="42"/>
        </w:rPr>
        <w:t>上海证券交易所债券存续期</w:t>
      </w:r>
      <w:r>
        <w:rPr>
          <w:rFonts w:hAnsi="黑体" w:eastAsia="黑体"/>
          <w:b/>
          <w:sz w:val="42"/>
          <w:szCs w:val="42"/>
        </w:rPr>
        <w:t>业务</w:t>
      </w:r>
      <w:r>
        <w:rPr>
          <w:rFonts w:hint="eastAsia" w:hAnsi="黑体" w:eastAsia="黑体"/>
          <w:b/>
          <w:sz w:val="42"/>
          <w:szCs w:val="42"/>
        </w:rPr>
        <w:t>指南第2号——公司债券和资产支持证券信息披露</w:t>
      </w:r>
    </w:p>
    <w:p>
      <w:pPr>
        <w:spacing w:line="560" w:lineRule="exact"/>
        <w:jc w:val="center"/>
        <w:rPr>
          <w:rFonts w:hAnsi="黑体" w:eastAsia="黑体"/>
          <w:b/>
          <w:sz w:val="42"/>
          <w:szCs w:val="42"/>
        </w:rPr>
      </w:pPr>
      <w:r>
        <w:rPr>
          <w:rFonts w:hint="eastAsia" w:hAnsi="黑体" w:eastAsia="黑体"/>
          <w:b/>
          <w:sz w:val="42"/>
          <w:szCs w:val="42"/>
        </w:rPr>
        <w:t>直通车业务</w:t>
      </w: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p>
    <w:p>
      <w:pPr>
        <w:spacing w:line="560" w:lineRule="exact"/>
        <w:jc w:val="center"/>
        <w:rPr>
          <w:rFonts w:eastAsia="仿宋_GB2312" w:cs="仿宋_GB2312"/>
          <w:kern w:val="0"/>
          <w:sz w:val="30"/>
          <w:szCs w:val="30"/>
        </w:rPr>
      </w:pPr>
      <w:r>
        <w:rPr>
          <w:rFonts w:hint="eastAsia" w:eastAsia="仿宋_GB2312" w:cs="仿宋_GB2312"/>
          <w:kern w:val="0"/>
          <w:sz w:val="30"/>
          <w:szCs w:val="30"/>
        </w:rPr>
        <w:t>上海证券交易所</w:t>
      </w:r>
    </w:p>
    <w:p>
      <w:pPr>
        <w:spacing w:line="560" w:lineRule="exact"/>
        <w:ind w:firstLine="3150" w:firstLineChars="1050"/>
        <w:rPr>
          <w:rFonts w:ascii="黑体" w:hAnsi="黑体" w:eastAsia="黑体"/>
          <w:sz w:val="36"/>
          <w:szCs w:val="36"/>
        </w:rPr>
      </w:pPr>
      <w:r>
        <w:rPr>
          <w:rFonts w:hint="eastAsia" w:eastAsia="仿宋_GB2312" w:cs="仿宋_GB2312"/>
          <w:kern w:val="0"/>
          <w:sz w:val="30"/>
          <w:szCs w:val="30"/>
        </w:rPr>
        <w:t>二○二一年九月</w:t>
      </w:r>
    </w:p>
    <w:p>
      <w:pPr>
        <w:widowControl/>
        <w:jc w:val="left"/>
        <w:rPr>
          <w:rFonts w:ascii="Times New Roman" w:hAnsi="Times New Roman" w:eastAsia="仿宋_GB2312" w:cs="Times New Roman"/>
          <w:b/>
          <w:bCs/>
          <w:kern w:val="0"/>
          <w:sz w:val="36"/>
          <w:szCs w:val="32"/>
        </w:rPr>
      </w:pPr>
      <w:bookmarkStart w:id="0" w:name="_Toc534569689"/>
      <w:bookmarkStart w:id="1" w:name="_Toc77257870"/>
      <w:bookmarkStart w:id="2" w:name="_Toc500840216"/>
      <w:r>
        <w:rPr>
          <w:kern w:val="0"/>
          <w:szCs w:val="32"/>
        </w:rPr>
        <w:br w:type="page"/>
      </w:r>
    </w:p>
    <w:sdt>
      <w:sdtPr>
        <w:rPr>
          <w:rFonts w:ascii="黑体" w:hAnsi="黑体" w:eastAsia="黑体" w:cs="ArialUnicodeMS,Bold"/>
          <w:b/>
          <w:bCs/>
          <w:kern w:val="0"/>
          <w:sz w:val="30"/>
          <w:szCs w:val="30"/>
        </w:rPr>
        <w:id w:val="221680594"/>
        <w:docPartObj>
          <w:docPartGallery w:val="Table of Contents"/>
          <w:docPartUnique/>
        </w:docPartObj>
      </w:sdtPr>
      <w:sdtEndPr>
        <w:rPr>
          <w:rStyle w:val="18"/>
          <w:rFonts w:hint="eastAsia" w:ascii="仿宋_GB2312" w:hAnsi="Times New Roman" w:eastAsia="仿宋_GB2312" w:cs="Times New Roman"/>
          <w:b/>
          <w:bCs w:val="0"/>
          <w:color w:val="0000FF" w:themeColor="hyperlink"/>
          <w:kern w:val="2"/>
          <w:sz w:val="24"/>
          <w:szCs w:val="24"/>
          <w:u w:val="single"/>
        </w:rPr>
      </w:sdtEndPr>
      <w:sdtContent>
        <w:p>
          <w:pPr>
            <w:widowControl/>
            <w:jc w:val="center"/>
            <w:rPr>
              <w:rFonts w:ascii="黑体" w:hAnsi="黑体" w:eastAsia="黑体" w:cs="ArialUnicodeMS,Bold"/>
              <w:b/>
              <w:bCs/>
              <w:kern w:val="0"/>
              <w:sz w:val="30"/>
              <w:szCs w:val="30"/>
            </w:rPr>
          </w:pPr>
          <w:r>
            <w:rPr>
              <w:rFonts w:ascii="黑体" w:hAnsi="黑体" w:eastAsia="黑体" w:cs="ArialUnicodeMS,Bold"/>
              <w:b/>
              <w:bCs/>
              <w:kern w:val="0"/>
              <w:sz w:val="30"/>
              <w:szCs w:val="30"/>
            </w:rPr>
            <w:t>目录</w:t>
          </w:r>
        </w:p>
        <w:p>
          <w:pPr>
            <w:pStyle w:val="12"/>
            <w:spacing w:line="600" w:lineRule="exact"/>
            <w:rPr>
              <w:rFonts w:hAnsiTheme="minorHAnsi" w:cstheme="minorBidi"/>
              <w:kern w:val="2"/>
            </w:rPr>
          </w:pPr>
          <w:r>
            <w:rPr>
              <w:rStyle w:val="18"/>
              <w:rFonts w:hAnsi="Times New Roman" w:cs="Times New Roman"/>
              <w:color w:val="auto"/>
            </w:rPr>
            <w:fldChar w:fldCharType="begin"/>
          </w:r>
          <w:r>
            <w:rPr>
              <w:rStyle w:val="18"/>
              <w:rFonts w:hAnsi="Times New Roman" w:cs="Times New Roman"/>
              <w:color w:val="auto"/>
            </w:rPr>
            <w:instrText xml:space="preserve"> TOC \o "1-3" \h \z \u </w:instrText>
          </w:r>
          <w:r>
            <w:rPr>
              <w:rStyle w:val="18"/>
              <w:rFonts w:hAnsi="Times New Roman" w:cs="Times New Roman"/>
              <w:color w:val="auto"/>
            </w:rPr>
            <w:fldChar w:fldCharType="separate"/>
          </w:r>
          <w:r>
            <w:fldChar w:fldCharType="begin"/>
          </w:r>
          <w:r>
            <w:instrText xml:space="preserve"> HYPERLINK \l "_Toc80258470" </w:instrText>
          </w:r>
          <w:r>
            <w:fldChar w:fldCharType="separate"/>
          </w:r>
          <w:r>
            <w:rPr>
              <w:rStyle w:val="18"/>
              <w:color w:val="auto"/>
            </w:rPr>
            <w:t>引言</w:t>
          </w:r>
          <w:r>
            <w:tab/>
          </w:r>
          <w:r>
            <w:fldChar w:fldCharType="begin"/>
          </w:r>
          <w:r>
            <w:instrText xml:space="preserve"> PAGEREF _Toc80258470 \h </w:instrText>
          </w:r>
          <w:r>
            <w:fldChar w:fldCharType="separate"/>
          </w:r>
          <w:r>
            <w:t>3</w:t>
          </w:r>
          <w:r>
            <w:fldChar w:fldCharType="end"/>
          </w:r>
          <w:r>
            <w:fldChar w:fldCharType="end"/>
          </w:r>
        </w:p>
        <w:p>
          <w:pPr>
            <w:pStyle w:val="12"/>
            <w:spacing w:line="600" w:lineRule="exact"/>
            <w:rPr>
              <w:rFonts w:hAnsiTheme="minorHAnsi" w:cstheme="minorBidi"/>
              <w:kern w:val="2"/>
            </w:rPr>
          </w:pPr>
          <w:r>
            <w:fldChar w:fldCharType="begin"/>
          </w:r>
          <w:r>
            <w:instrText xml:space="preserve"> HYPERLINK \l "_Toc80258471" </w:instrText>
          </w:r>
          <w:r>
            <w:fldChar w:fldCharType="separate"/>
          </w:r>
          <w:r>
            <w:rPr>
              <w:rStyle w:val="18"/>
              <w:color w:val="auto"/>
            </w:rPr>
            <w:t>一、公司债券信息披露流程</w:t>
          </w:r>
          <w:r>
            <w:tab/>
          </w:r>
          <w:r>
            <w:fldChar w:fldCharType="begin"/>
          </w:r>
          <w:r>
            <w:instrText xml:space="preserve"> PAGEREF _Toc80258471 \h </w:instrText>
          </w:r>
          <w:r>
            <w:fldChar w:fldCharType="separate"/>
          </w:r>
          <w:r>
            <w:t>3</w:t>
          </w:r>
          <w:r>
            <w:fldChar w:fldCharType="end"/>
          </w:r>
          <w:r>
            <w:fldChar w:fldCharType="end"/>
          </w:r>
        </w:p>
        <w:p>
          <w:pPr>
            <w:pStyle w:val="13"/>
            <w:spacing w:line="600" w:lineRule="exact"/>
            <w:ind w:left="420"/>
            <w:rPr>
              <w:rFonts w:ascii="仿宋_GB2312"/>
              <w:szCs w:val="30"/>
            </w:rPr>
          </w:pPr>
          <w:r>
            <w:fldChar w:fldCharType="begin"/>
          </w:r>
          <w:r>
            <w:instrText xml:space="preserve"> HYPERLINK \l "_Toc80258472" </w:instrText>
          </w:r>
          <w:r>
            <w:fldChar w:fldCharType="separate"/>
          </w:r>
          <w:r>
            <w:rPr>
              <w:rStyle w:val="18"/>
              <w:rFonts w:hint="eastAsia" w:ascii="仿宋_GB2312"/>
              <w:color w:val="auto"/>
              <w:szCs w:val="30"/>
            </w:rPr>
            <w:t>（一）原流程变动</w:t>
          </w:r>
          <w:r>
            <w:rPr>
              <w:rFonts w:ascii="仿宋_GB2312"/>
              <w:szCs w:val="30"/>
            </w:rPr>
            <w:tab/>
          </w:r>
          <w:r>
            <w:rPr>
              <w:rFonts w:ascii="仿宋_GB2312"/>
              <w:szCs w:val="30"/>
            </w:rPr>
            <w:fldChar w:fldCharType="begin"/>
          </w:r>
          <w:r>
            <w:rPr>
              <w:rFonts w:ascii="仿宋_GB2312"/>
              <w:szCs w:val="30"/>
            </w:rPr>
            <w:instrText xml:space="preserve"> PAGEREF _Toc80258472 \h </w:instrText>
          </w:r>
          <w:r>
            <w:rPr>
              <w:rFonts w:ascii="仿宋_GB2312"/>
              <w:szCs w:val="30"/>
            </w:rPr>
            <w:fldChar w:fldCharType="separate"/>
          </w:r>
          <w:r>
            <w:rPr>
              <w:rFonts w:ascii="仿宋_GB2312"/>
              <w:szCs w:val="30"/>
            </w:rPr>
            <w:t>4</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"_Toc80258473" </w:instrText>
          </w:r>
          <w:r>
            <w:fldChar w:fldCharType="separate"/>
          </w:r>
          <w:r>
            <w:rPr>
              <w:rStyle w:val="18"/>
              <w:rFonts w:hint="eastAsia" w:ascii="仿宋_GB2312"/>
              <w:color w:val="auto"/>
              <w:szCs w:val="30"/>
            </w:rPr>
            <w:t>（二）新流程概览</w:t>
          </w:r>
          <w:r>
            <w:rPr>
              <w:rFonts w:ascii="仿宋_GB2312"/>
              <w:szCs w:val="30"/>
            </w:rPr>
            <w:tab/>
          </w:r>
          <w:r>
            <w:rPr>
              <w:rFonts w:ascii="仿宋_GB2312"/>
              <w:szCs w:val="30"/>
            </w:rPr>
            <w:fldChar w:fldCharType="begin"/>
          </w:r>
          <w:r>
            <w:rPr>
              <w:rFonts w:ascii="仿宋_GB2312"/>
              <w:szCs w:val="30"/>
            </w:rPr>
            <w:instrText xml:space="preserve"> PAGEREF _Toc80258473 \h </w:instrText>
          </w:r>
          <w:r>
            <w:rPr>
              <w:rFonts w:ascii="仿宋_GB2312"/>
              <w:szCs w:val="30"/>
            </w:rPr>
            <w:fldChar w:fldCharType="separate"/>
          </w:r>
          <w:r>
            <w:rPr>
              <w:rFonts w:ascii="仿宋_GB2312"/>
              <w:szCs w:val="30"/>
            </w:rPr>
            <w:t>4</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"_Toc80258474" </w:instrText>
          </w:r>
          <w:r>
            <w:fldChar w:fldCharType="separate"/>
          </w:r>
          <w:r>
            <w:rPr>
              <w:rStyle w:val="18"/>
              <w:rFonts w:hint="eastAsia" w:ascii="仿宋_GB2312"/>
              <w:color w:val="auto"/>
              <w:szCs w:val="30"/>
            </w:rPr>
            <w:t>（三）“临时报告”流程详解</w:t>
          </w:r>
          <w:r>
            <w:rPr>
              <w:rFonts w:ascii="仿宋_GB2312"/>
              <w:szCs w:val="30"/>
            </w:rPr>
            <w:tab/>
          </w:r>
          <w:r>
            <w:rPr>
              <w:rFonts w:ascii="仿宋_GB2312"/>
              <w:szCs w:val="30"/>
            </w:rPr>
            <w:fldChar w:fldCharType="begin"/>
          </w:r>
          <w:r>
            <w:rPr>
              <w:rFonts w:ascii="仿宋_GB2312"/>
              <w:szCs w:val="30"/>
            </w:rPr>
            <w:instrText xml:space="preserve"> PAGEREF _Toc80258474 \h </w:instrText>
          </w:r>
          <w:r>
            <w:rPr>
              <w:rFonts w:ascii="仿宋_GB2312"/>
              <w:szCs w:val="30"/>
            </w:rPr>
            <w:fldChar w:fldCharType="separate"/>
          </w:r>
          <w:r>
            <w:rPr>
              <w:rFonts w:ascii="仿宋_GB2312"/>
              <w:szCs w:val="30"/>
            </w:rPr>
            <w:t>5</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"_Toc80258475" </w:instrText>
          </w:r>
          <w:r>
            <w:fldChar w:fldCharType="separate"/>
          </w:r>
          <w:r>
            <w:rPr>
              <w:rStyle w:val="18"/>
              <w:rFonts w:hint="eastAsia" w:ascii="仿宋_GB2312"/>
              <w:color w:val="auto"/>
              <w:szCs w:val="30"/>
            </w:rPr>
            <w:t>（四）“债券付息”流程详解</w:t>
          </w:r>
          <w:r>
            <w:rPr>
              <w:rFonts w:ascii="仿宋_GB2312"/>
              <w:szCs w:val="30"/>
            </w:rPr>
            <w:tab/>
          </w:r>
          <w:r>
            <w:rPr>
              <w:rFonts w:ascii="仿宋_GB2312"/>
              <w:szCs w:val="30"/>
            </w:rPr>
            <w:fldChar w:fldCharType="begin"/>
          </w:r>
          <w:r>
            <w:rPr>
              <w:rFonts w:ascii="仿宋_GB2312"/>
              <w:szCs w:val="30"/>
            </w:rPr>
            <w:instrText xml:space="preserve"> PAGEREF _Toc80258475 \h </w:instrText>
          </w:r>
          <w:r>
            <w:rPr>
              <w:rFonts w:ascii="仿宋_GB2312"/>
              <w:szCs w:val="30"/>
            </w:rPr>
            <w:fldChar w:fldCharType="separate"/>
          </w:r>
          <w:r>
            <w:rPr>
              <w:rFonts w:ascii="仿宋_GB2312"/>
              <w:szCs w:val="30"/>
            </w:rPr>
            <w:t>6</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"_Toc80258476" </w:instrText>
          </w:r>
          <w:r>
            <w:fldChar w:fldCharType="separate"/>
          </w:r>
          <w:r>
            <w:rPr>
              <w:rStyle w:val="18"/>
              <w:rFonts w:hint="eastAsia" w:ascii="仿宋_GB2312"/>
              <w:color w:val="auto"/>
              <w:szCs w:val="30"/>
            </w:rPr>
            <w:t>（五）“债券评级”流程调整</w:t>
          </w:r>
          <w:r>
            <w:rPr>
              <w:rFonts w:ascii="仿宋_GB2312"/>
              <w:szCs w:val="30"/>
            </w:rPr>
            <w:tab/>
          </w:r>
          <w:r>
            <w:rPr>
              <w:rFonts w:ascii="仿宋_GB2312"/>
              <w:szCs w:val="30"/>
            </w:rPr>
            <w:fldChar w:fldCharType="begin"/>
          </w:r>
          <w:r>
            <w:rPr>
              <w:rFonts w:ascii="仿宋_GB2312"/>
              <w:szCs w:val="30"/>
            </w:rPr>
            <w:instrText xml:space="preserve"> PAGEREF _Toc80258476 \h </w:instrText>
          </w:r>
          <w:r>
            <w:rPr>
              <w:rFonts w:ascii="仿宋_GB2312"/>
              <w:szCs w:val="30"/>
            </w:rPr>
            <w:fldChar w:fldCharType="separate"/>
          </w:r>
          <w:r>
            <w:rPr>
              <w:rFonts w:ascii="仿宋_GB2312"/>
              <w:szCs w:val="30"/>
            </w:rPr>
            <w:t>7</w:t>
          </w:r>
          <w:r>
            <w:rPr>
              <w:rFonts w:ascii="仿宋_GB2312"/>
              <w:szCs w:val="30"/>
            </w:rPr>
            <w:fldChar w:fldCharType="end"/>
          </w:r>
          <w:r>
            <w:rPr>
              <w:rFonts w:ascii="仿宋_GB2312"/>
              <w:szCs w:val="30"/>
            </w:rPr>
            <w:fldChar w:fldCharType="end"/>
          </w:r>
        </w:p>
        <w:p>
          <w:pPr>
            <w:pStyle w:val="12"/>
            <w:spacing w:line="600" w:lineRule="exact"/>
            <w:rPr>
              <w:rFonts w:hAnsiTheme="minorHAnsi" w:cstheme="minorBidi"/>
              <w:kern w:val="2"/>
            </w:rPr>
          </w:pPr>
          <w:r>
            <w:fldChar w:fldCharType="begin"/>
          </w:r>
          <w:r>
            <w:instrText xml:space="preserve"> HYPERLINK \l "_Toc80258477" </w:instrText>
          </w:r>
          <w:r>
            <w:fldChar w:fldCharType="separate"/>
          </w:r>
          <w:r>
            <w:rPr>
              <w:rStyle w:val="18"/>
              <w:color w:val="auto"/>
            </w:rPr>
            <w:t>二、资产支持证券信息披露流程</w:t>
          </w:r>
          <w:r>
            <w:tab/>
          </w:r>
          <w:r>
            <w:fldChar w:fldCharType="begin"/>
          </w:r>
          <w:r>
            <w:instrText xml:space="preserve"> PAGEREF _Toc80258477 \h </w:instrText>
          </w:r>
          <w:r>
            <w:fldChar w:fldCharType="separate"/>
          </w:r>
          <w:r>
            <w:t>7</w:t>
          </w:r>
          <w:r>
            <w:fldChar w:fldCharType="end"/>
          </w:r>
          <w:r>
            <w:fldChar w:fldCharType="end"/>
          </w:r>
        </w:p>
        <w:p>
          <w:pPr>
            <w:pStyle w:val="13"/>
            <w:spacing w:line="600" w:lineRule="exact"/>
            <w:ind w:left="420"/>
            <w:rPr>
              <w:rFonts w:ascii="仿宋_GB2312"/>
              <w:szCs w:val="30"/>
            </w:rPr>
          </w:pPr>
          <w:r>
            <w:fldChar w:fldCharType="begin"/>
          </w:r>
          <w:r>
            <w:instrText xml:space="preserve"> HYPERLINK \l "_Toc80258478" </w:instrText>
          </w:r>
          <w:r>
            <w:fldChar w:fldCharType="separate"/>
          </w:r>
          <w:r>
            <w:rPr>
              <w:rStyle w:val="18"/>
              <w:rFonts w:hint="eastAsia" w:ascii="仿宋_GB2312"/>
              <w:color w:val="auto"/>
              <w:szCs w:val="30"/>
            </w:rPr>
            <w:t>（一）新流程概览</w:t>
          </w:r>
          <w:r>
            <w:rPr>
              <w:rFonts w:ascii="仿宋_GB2312"/>
              <w:szCs w:val="30"/>
            </w:rPr>
            <w:tab/>
          </w:r>
          <w:r>
            <w:rPr>
              <w:rFonts w:ascii="仿宋_GB2312"/>
              <w:szCs w:val="30"/>
            </w:rPr>
            <w:fldChar w:fldCharType="begin"/>
          </w:r>
          <w:r>
            <w:rPr>
              <w:rFonts w:ascii="仿宋_GB2312"/>
              <w:szCs w:val="30"/>
            </w:rPr>
            <w:instrText xml:space="preserve"> PAGEREF _Toc80258478 \h </w:instrText>
          </w:r>
          <w:r>
            <w:rPr>
              <w:rFonts w:ascii="仿宋_GB2312"/>
              <w:szCs w:val="30"/>
            </w:rPr>
            <w:fldChar w:fldCharType="separate"/>
          </w:r>
          <w:r>
            <w:rPr>
              <w:rFonts w:ascii="仿宋_GB2312"/>
              <w:szCs w:val="30"/>
            </w:rPr>
            <w:t>7</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"_Toc80258479" </w:instrText>
          </w:r>
          <w:r>
            <w:fldChar w:fldCharType="separate"/>
          </w:r>
          <w:r>
            <w:rPr>
              <w:rStyle w:val="18"/>
              <w:rFonts w:hint="eastAsia" w:ascii="仿宋_GB2312"/>
              <w:color w:val="auto"/>
              <w:szCs w:val="30"/>
            </w:rPr>
            <w:t>（二）“</w:t>
          </w:r>
          <w:r>
            <w:rPr>
              <w:rStyle w:val="18"/>
              <w:rFonts w:ascii="仿宋_GB2312"/>
              <w:color w:val="auto"/>
              <w:szCs w:val="30"/>
            </w:rPr>
            <w:t>ABS</w:t>
          </w:r>
          <w:r>
            <w:rPr>
              <w:rStyle w:val="18"/>
              <w:rFonts w:hint="eastAsia" w:ascii="仿宋_GB2312"/>
              <w:color w:val="auto"/>
              <w:szCs w:val="30"/>
            </w:rPr>
            <w:t>临时报告”流程详解</w:t>
          </w:r>
          <w:r>
            <w:rPr>
              <w:rFonts w:ascii="仿宋_GB2312"/>
              <w:szCs w:val="30"/>
            </w:rPr>
            <w:tab/>
          </w:r>
          <w:r>
            <w:rPr>
              <w:rFonts w:ascii="仿宋_GB2312"/>
              <w:szCs w:val="30"/>
            </w:rPr>
            <w:fldChar w:fldCharType="begin"/>
          </w:r>
          <w:r>
            <w:rPr>
              <w:rFonts w:ascii="仿宋_GB2312"/>
              <w:szCs w:val="30"/>
            </w:rPr>
            <w:instrText xml:space="preserve"> PAGEREF _Toc80258479 \h </w:instrText>
          </w:r>
          <w:r>
            <w:rPr>
              <w:rFonts w:ascii="仿宋_GB2312"/>
              <w:szCs w:val="30"/>
            </w:rPr>
            <w:fldChar w:fldCharType="separate"/>
          </w:r>
          <w:r>
            <w:rPr>
              <w:rFonts w:ascii="仿宋_GB2312"/>
              <w:szCs w:val="30"/>
            </w:rPr>
            <w:t>8</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"_Toc80258480" </w:instrText>
          </w:r>
          <w:r>
            <w:fldChar w:fldCharType="separate"/>
          </w:r>
          <w:r>
            <w:rPr>
              <w:rStyle w:val="18"/>
              <w:rFonts w:hint="eastAsia" w:ascii="仿宋_GB2312"/>
              <w:color w:val="auto"/>
              <w:szCs w:val="30"/>
            </w:rPr>
            <w:t>（三）</w:t>
          </w:r>
          <w:r>
            <w:rPr>
              <w:rStyle w:val="18"/>
              <w:rFonts w:ascii="仿宋_GB2312"/>
              <w:color w:val="auto"/>
              <w:szCs w:val="30"/>
            </w:rPr>
            <w:t>ABS</w:t>
          </w:r>
          <w:r>
            <w:rPr>
              <w:rStyle w:val="18"/>
              <w:rFonts w:hint="eastAsia" w:ascii="仿宋_GB2312"/>
              <w:color w:val="auto"/>
              <w:szCs w:val="30"/>
            </w:rPr>
            <w:t>收益分配公告详解</w:t>
          </w:r>
          <w:r>
            <w:rPr>
              <w:rFonts w:ascii="仿宋_GB2312"/>
              <w:szCs w:val="30"/>
            </w:rPr>
            <w:tab/>
          </w:r>
          <w:r>
            <w:rPr>
              <w:rFonts w:ascii="仿宋_GB2312"/>
              <w:szCs w:val="30"/>
            </w:rPr>
            <w:fldChar w:fldCharType="begin"/>
          </w:r>
          <w:r>
            <w:rPr>
              <w:rFonts w:ascii="仿宋_GB2312"/>
              <w:szCs w:val="30"/>
            </w:rPr>
            <w:instrText xml:space="preserve"> PAGEREF _Toc80258480 \h </w:instrText>
          </w:r>
          <w:r>
            <w:rPr>
              <w:rFonts w:ascii="仿宋_GB2312"/>
              <w:szCs w:val="30"/>
            </w:rPr>
            <w:fldChar w:fldCharType="separate"/>
          </w:r>
          <w:r>
            <w:rPr>
              <w:rFonts w:ascii="仿宋_GB2312"/>
              <w:szCs w:val="30"/>
            </w:rPr>
            <w:t>9</w:t>
          </w:r>
          <w:r>
            <w:rPr>
              <w:rFonts w:ascii="仿宋_GB2312"/>
              <w:szCs w:val="30"/>
            </w:rPr>
            <w:fldChar w:fldCharType="end"/>
          </w:r>
          <w:r>
            <w:rPr>
              <w:rFonts w:ascii="仿宋_GB2312"/>
              <w:szCs w:val="30"/>
            </w:rPr>
            <w:fldChar w:fldCharType="end"/>
          </w:r>
        </w:p>
        <w:p>
          <w:pPr>
            <w:pStyle w:val="12"/>
            <w:spacing w:line="600" w:lineRule="exact"/>
            <w:rPr>
              <w:rFonts w:hAnsiTheme="minorHAnsi" w:cstheme="minorBidi"/>
              <w:kern w:val="2"/>
            </w:rPr>
          </w:pPr>
          <w:r>
            <w:fldChar w:fldCharType="begin"/>
          </w:r>
          <w:r>
            <w:instrText xml:space="preserve"> HYPERLINK \l "_Toc80258481" </w:instrText>
          </w:r>
          <w:r>
            <w:fldChar w:fldCharType="separate"/>
          </w:r>
          <w:r>
            <w:rPr>
              <w:rStyle w:val="18"/>
              <w:color w:val="auto"/>
            </w:rPr>
            <w:t>三、直通车业务办理注意事项</w:t>
          </w:r>
          <w:r>
            <w:tab/>
          </w:r>
          <w:r>
            <w:fldChar w:fldCharType="begin"/>
          </w:r>
          <w:r>
            <w:instrText xml:space="preserve"> PAGEREF _Toc80258481 \h </w:instrText>
          </w:r>
          <w:r>
            <w:fldChar w:fldCharType="separate"/>
          </w:r>
          <w:r>
            <w:t>9</w:t>
          </w:r>
          <w:r>
            <w:fldChar w:fldCharType="end"/>
          </w:r>
          <w:r>
            <w:fldChar w:fldCharType="end"/>
          </w:r>
        </w:p>
        <w:p>
          <w:pPr>
            <w:pStyle w:val="13"/>
            <w:spacing w:line="600" w:lineRule="exact"/>
            <w:ind w:left="420"/>
            <w:rPr>
              <w:rFonts w:ascii="仿宋_GB2312"/>
              <w:szCs w:val="30"/>
            </w:rPr>
          </w:pPr>
          <w:r>
            <w:fldChar w:fldCharType="begin"/>
          </w:r>
          <w:r>
            <w:instrText xml:space="preserve"> HYPERLINK \l "_Toc80258482" </w:instrText>
          </w:r>
          <w:r>
            <w:fldChar w:fldCharType="separate"/>
          </w:r>
          <w:r>
            <w:rPr>
              <w:rStyle w:val="18"/>
              <w:rFonts w:hint="eastAsia" w:ascii="仿宋_GB2312"/>
              <w:color w:val="auto"/>
              <w:szCs w:val="30"/>
            </w:rPr>
            <w:t>（一）原流程功能关闭</w:t>
          </w:r>
          <w:r>
            <w:rPr>
              <w:rFonts w:ascii="仿宋_GB2312"/>
              <w:szCs w:val="30"/>
            </w:rPr>
            <w:tab/>
          </w:r>
          <w:r>
            <w:rPr>
              <w:rFonts w:ascii="仿宋_GB2312"/>
              <w:szCs w:val="30"/>
            </w:rPr>
            <w:fldChar w:fldCharType="begin"/>
          </w:r>
          <w:r>
            <w:rPr>
              <w:rFonts w:ascii="仿宋_GB2312"/>
              <w:szCs w:val="30"/>
            </w:rPr>
            <w:instrText xml:space="preserve"> PAGEREF _Toc80258482 \h </w:instrText>
          </w:r>
          <w:r>
            <w:rPr>
              <w:rFonts w:ascii="仿宋_GB2312"/>
              <w:szCs w:val="30"/>
            </w:rPr>
            <w:fldChar w:fldCharType="separate"/>
          </w:r>
          <w:r>
            <w:rPr>
              <w:rFonts w:ascii="仿宋_GB2312"/>
              <w:szCs w:val="30"/>
            </w:rPr>
            <w:t>9</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"_Toc80258483" </w:instrText>
          </w:r>
          <w:r>
            <w:fldChar w:fldCharType="separate"/>
          </w:r>
          <w:r>
            <w:rPr>
              <w:rStyle w:val="18"/>
              <w:rFonts w:hint="eastAsia" w:ascii="仿宋_GB2312"/>
              <w:color w:val="auto"/>
              <w:szCs w:val="30"/>
            </w:rPr>
            <w:t>（二）新流程合并上传安排</w:t>
          </w:r>
          <w:r>
            <w:rPr>
              <w:rFonts w:ascii="仿宋_GB2312"/>
              <w:szCs w:val="30"/>
            </w:rPr>
            <w:tab/>
          </w:r>
          <w:r>
            <w:rPr>
              <w:rFonts w:ascii="仿宋_GB2312"/>
              <w:szCs w:val="30"/>
            </w:rPr>
            <w:fldChar w:fldCharType="begin"/>
          </w:r>
          <w:r>
            <w:rPr>
              <w:rFonts w:ascii="仿宋_GB2312"/>
              <w:szCs w:val="30"/>
            </w:rPr>
            <w:instrText xml:space="preserve"> PAGEREF _Toc80258483 \h </w:instrText>
          </w:r>
          <w:r>
            <w:rPr>
              <w:rFonts w:ascii="仿宋_GB2312"/>
              <w:szCs w:val="30"/>
            </w:rPr>
            <w:fldChar w:fldCharType="separate"/>
          </w:r>
          <w:r>
            <w:rPr>
              <w:rFonts w:ascii="仿宋_GB2312"/>
              <w:szCs w:val="30"/>
            </w:rPr>
            <w:t>9</w:t>
          </w:r>
          <w:r>
            <w:rPr>
              <w:rFonts w:ascii="仿宋_GB2312"/>
              <w:szCs w:val="30"/>
            </w:rPr>
            <w:fldChar w:fldCharType="end"/>
          </w:r>
          <w:r>
            <w:rPr>
              <w:rFonts w:ascii="仿宋_GB2312"/>
              <w:szCs w:val="30"/>
            </w:rPr>
            <w:fldChar w:fldCharType="end"/>
          </w:r>
        </w:p>
        <w:p>
          <w:pPr>
            <w:pStyle w:val="13"/>
            <w:spacing w:line="600" w:lineRule="exact"/>
            <w:ind w:left="420"/>
            <w:rPr>
              <w:rFonts w:ascii="仿宋_GB2312"/>
              <w:szCs w:val="30"/>
            </w:rPr>
          </w:pPr>
          <w:r>
            <w:fldChar w:fldCharType="begin"/>
          </w:r>
          <w:r>
            <w:instrText xml:space="preserve"> HYPERLINK \l "_Toc80258484" </w:instrText>
          </w:r>
          <w:r>
            <w:fldChar w:fldCharType="separate"/>
          </w:r>
          <w:r>
            <w:rPr>
              <w:rStyle w:val="18"/>
              <w:rFonts w:hint="eastAsia" w:ascii="仿宋_GB2312"/>
              <w:color w:val="auto"/>
              <w:szCs w:val="30"/>
            </w:rPr>
            <w:t>（三）公告类别登记</w:t>
          </w:r>
          <w:r>
            <w:rPr>
              <w:rFonts w:ascii="仿宋_GB2312"/>
              <w:szCs w:val="30"/>
            </w:rPr>
            <w:tab/>
          </w:r>
          <w:r>
            <w:rPr>
              <w:rFonts w:ascii="仿宋_GB2312"/>
              <w:szCs w:val="30"/>
            </w:rPr>
            <w:fldChar w:fldCharType="begin"/>
          </w:r>
          <w:r>
            <w:rPr>
              <w:rFonts w:ascii="仿宋_GB2312"/>
              <w:szCs w:val="30"/>
            </w:rPr>
            <w:instrText xml:space="preserve"> PAGEREF _Toc80258484 \h </w:instrText>
          </w:r>
          <w:r>
            <w:rPr>
              <w:rFonts w:ascii="仿宋_GB2312"/>
              <w:szCs w:val="30"/>
            </w:rPr>
            <w:fldChar w:fldCharType="separate"/>
          </w:r>
          <w:r>
            <w:rPr>
              <w:rFonts w:ascii="仿宋_GB2312"/>
              <w:szCs w:val="30"/>
            </w:rPr>
            <w:t>10</w:t>
          </w:r>
          <w:r>
            <w:rPr>
              <w:rFonts w:ascii="仿宋_GB2312"/>
              <w:szCs w:val="30"/>
            </w:rPr>
            <w:fldChar w:fldCharType="end"/>
          </w:r>
          <w:r>
            <w:rPr>
              <w:rFonts w:ascii="仿宋_GB2312"/>
              <w:szCs w:val="30"/>
            </w:rPr>
            <w:fldChar w:fldCharType="end"/>
          </w:r>
        </w:p>
        <w:p>
          <w:pPr>
            <w:pStyle w:val="7"/>
            <w:tabs>
              <w:tab w:val="right" w:leader="dot" w:pos="8296"/>
            </w:tabs>
            <w:spacing w:line="600" w:lineRule="exact"/>
            <w:ind w:left="840"/>
            <w:rPr>
              <w:rFonts w:ascii="仿宋_GB2312"/>
              <w:szCs w:val="30"/>
            </w:rPr>
          </w:pPr>
          <w:r>
            <w:fldChar w:fldCharType="begin"/>
          </w:r>
          <w:r>
            <w:instrText xml:space="preserve"> HYPERLINK \l "_Toc80258485" </w:instrText>
          </w:r>
          <w:r>
            <w:fldChar w:fldCharType="separate"/>
          </w:r>
          <w:r>
            <w:rPr>
              <w:rStyle w:val="18"/>
              <w:rFonts w:ascii="仿宋_GB2312"/>
              <w:color w:val="auto"/>
              <w:szCs w:val="30"/>
            </w:rPr>
            <w:t xml:space="preserve">1. </w:t>
          </w:r>
          <w:r>
            <w:rPr>
              <w:rStyle w:val="18"/>
              <w:rFonts w:hint="eastAsia" w:ascii="仿宋_GB2312"/>
              <w:color w:val="auto"/>
              <w:szCs w:val="30"/>
            </w:rPr>
            <w:t>公告类别的作用</w:t>
          </w:r>
          <w:r>
            <w:rPr>
              <w:rFonts w:ascii="仿宋_GB2312"/>
              <w:szCs w:val="30"/>
            </w:rPr>
            <w:tab/>
          </w:r>
          <w:r>
            <w:rPr>
              <w:rFonts w:ascii="仿宋_GB2312"/>
              <w:szCs w:val="30"/>
            </w:rPr>
            <w:fldChar w:fldCharType="begin"/>
          </w:r>
          <w:r>
            <w:rPr>
              <w:rFonts w:ascii="仿宋_GB2312"/>
              <w:szCs w:val="30"/>
            </w:rPr>
            <w:instrText xml:space="preserve"> PAGEREF _Toc80258485 \h </w:instrText>
          </w:r>
          <w:r>
            <w:rPr>
              <w:rFonts w:ascii="仿宋_GB2312"/>
              <w:szCs w:val="30"/>
            </w:rPr>
            <w:fldChar w:fldCharType="separate"/>
          </w:r>
          <w:r>
            <w:rPr>
              <w:rFonts w:ascii="仿宋_GB2312"/>
              <w:szCs w:val="30"/>
            </w:rPr>
            <w:t>10</w:t>
          </w:r>
          <w:r>
            <w:rPr>
              <w:rFonts w:ascii="仿宋_GB2312"/>
              <w:szCs w:val="30"/>
            </w:rPr>
            <w:fldChar w:fldCharType="end"/>
          </w:r>
          <w:r>
            <w:rPr>
              <w:rFonts w:ascii="仿宋_GB2312"/>
              <w:szCs w:val="30"/>
            </w:rPr>
            <w:fldChar w:fldCharType="end"/>
          </w:r>
        </w:p>
        <w:p>
          <w:pPr>
            <w:pStyle w:val="7"/>
            <w:tabs>
              <w:tab w:val="right" w:leader="dot" w:pos="8296"/>
            </w:tabs>
            <w:spacing w:line="600" w:lineRule="exact"/>
            <w:ind w:left="840"/>
            <w:rPr>
              <w:rFonts w:ascii="仿宋_GB2312"/>
              <w:szCs w:val="30"/>
            </w:rPr>
          </w:pPr>
          <w:r>
            <w:fldChar w:fldCharType="begin"/>
          </w:r>
          <w:r>
            <w:instrText xml:space="preserve"> HYPERLINK \l "_Toc80258486" </w:instrText>
          </w:r>
          <w:r>
            <w:fldChar w:fldCharType="separate"/>
          </w:r>
          <w:r>
            <w:rPr>
              <w:rStyle w:val="18"/>
              <w:rFonts w:ascii="仿宋_GB2312"/>
              <w:color w:val="auto"/>
              <w:szCs w:val="30"/>
            </w:rPr>
            <w:t xml:space="preserve">2. </w:t>
          </w:r>
          <w:r>
            <w:rPr>
              <w:rStyle w:val="18"/>
              <w:rFonts w:hint="eastAsia" w:ascii="仿宋_GB2312"/>
              <w:color w:val="auto"/>
              <w:szCs w:val="30"/>
            </w:rPr>
            <w:t>登记差错的风险</w:t>
          </w:r>
          <w:r>
            <w:rPr>
              <w:rFonts w:ascii="仿宋_GB2312"/>
              <w:szCs w:val="30"/>
            </w:rPr>
            <w:tab/>
          </w:r>
          <w:r>
            <w:rPr>
              <w:rFonts w:ascii="仿宋_GB2312"/>
              <w:szCs w:val="30"/>
            </w:rPr>
            <w:fldChar w:fldCharType="begin"/>
          </w:r>
          <w:r>
            <w:rPr>
              <w:rFonts w:ascii="仿宋_GB2312"/>
              <w:szCs w:val="30"/>
            </w:rPr>
            <w:instrText xml:space="preserve"> PAGEREF _Toc80258486 \h </w:instrText>
          </w:r>
          <w:r>
            <w:rPr>
              <w:rFonts w:ascii="仿宋_GB2312"/>
              <w:szCs w:val="30"/>
            </w:rPr>
            <w:fldChar w:fldCharType="separate"/>
          </w:r>
          <w:r>
            <w:rPr>
              <w:rFonts w:ascii="仿宋_GB2312"/>
              <w:szCs w:val="30"/>
            </w:rPr>
            <w:t>10</w:t>
          </w:r>
          <w:r>
            <w:rPr>
              <w:rFonts w:ascii="仿宋_GB2312"/>
              <w:szCs w:val="30"/>
            </w:rPr>
            <w:fldChar w:fldCharType="end"/>
          </w:r>
          <w:r>
            <w:rPr>
              <w:rFonts w:ascii="仿宋_GB2312"/>
              <w:szCs w:val="30"/>
            </w:rPr>
            <w:fldChar w:fldCharType="end"/>
          </w:r>
        </w:p>
        <w:p>
          <w:pPr>
            <w:pStyle w:val="7"/>
            <w:tabs>
              <w:tab w:val="right" w:leader="dot" w:pos="8296"/>
            </w:tabs>
            <w:spacing w:line="600" w:lineRule="exact"/>
            <w:ind w:left="840"/>
            <w:rPr>
              <w:rFonts w:ascii="仿宋_GB2312"/>
              <w:szCs w:val="30"/>
            </w:rPr>
          </w:pPr>
          <w:r>
            <w:fldChar w:fldCharType="begin"/>
          </w:r>
          <w:r>
            <w:instrText xml:space="preserve"> HYPERLINK \l "_Toc80258487" </w:instrText>
          </w:r>
          <w:r>
            <w:fldChar w:fldCharType="separate"/>
          </w:r>
          <w:r>
            <w:rPr>
              <w:rStyle w:val="18"/>
              <w:rFonts w:ascii="仿宋_GB2312"/>
              <w:color w:val="auto"/>
              <w:szCs w:val="30"/>
            </w:rPr>
            <w:t xml:space="preserve">3. </w:t>
          </w:r>
          <w:r>
            <w:rPr>
              <w:rStyle w:val="18"/>
              <w:rFonts w:hint="eastAsia" w:ascii="仿宋_GB2312"/>
              <w:color w:val="auto"/>
              <w:szCs w:val="30"/>
            </w:rPr>
            <w:t>类别设置的原则</w:t>
          </w:r>
          <w:r>
            <w:rPr>
              <w:rFonts w:ascii="仿宋_GB2312"/>
              <w:szCs w:val="30"/>
            </w:rPr>
            <w:tab/>
          </w:r>
          <w:r>
            <w:rPr>
              <w:rFonts w:ascii="仿宋_GB2312"/>
              <w:szCs w:val="30"/>
            </w:rPr>
            <w:fldChar w:fldCharType="begin"/>
          </w:r>
          <w:r>
            <w:rPr>
              <w:rFonts w:ascii="仿宋_GB2312"/>
              <w:szCs w:val="30"/>
            </w:rPr>
            <w:instrText xml:space="preserve"> PAGEREF _Toc80258487 \h </w:instrText>
          </w:r>
          <w:r>
            <w:rPr>
              <w:rFonts w:ascii="仿宋_GB2312"/>
              <w:szCs w:val="30"/>
            </w:rPr>
            <w:fldChar w:fldCharType="separate"/>
          </w:r>
          <w:r>
            <w:rPr>
              <w:rFonts w:ascii="仿宋_GB2312"/>
              <w:szCs w:val="30"/>
            </w:rPr>
            <w:t>11</w:t>
          </w:r>
          <w:r>
            <w:rPr>
              <w:rFonts w:ascii="仿宋_GB2312"/>
              <w:szCs w:val="30"/>
            </w:rPr>
            <w:fldChar w:fldCharType="end"/>
          </w:r>
          <w:r>
            <w:rPr>
              <w:rFonts w:ascii="仿宋_GB2312"/>
              <w:szCs w:val="30"/>
            </w:rPr>
            <w:fldChar w:fldCharType="end"/>
          </w:r>
        </w:p>
        <w:p>
          <w:pPr>
            <w:pStyle w:val="7"/>
            <w:tabs>
              <w:tab w:val="right" w:leader="dot" w:pos="8296"/>
            </w:tabs>
            <w:spacing w:line="600" w:lineRule="exact"/>
            <w:ind w:left="840"/>
            <w:rPr>
              <w:rFonts w:ascii="仿宋_GB2312"/>
              <w:szCs w:val="30"/>
            </w:rPr>
          </w:pPr>
          <w:r>
            <w:fldChar w:fldCharType="begin"/>
          </w:r>
          <w:r>
            <w:instrText xml:space="preserve"> HYPERLINK \l "_Toc80258488" </w:instrText>
          </w:r>
          <w:r>
            <w:fldChar w:fldCharType="separate"/>
          </w:r>
          <w:r>
            <w:rPr>
              <w:rStyle w:val="18"/>
              <w:rFonts w:ascii="仿宋_GB2312"/>
              <w:color w:val="auto"/>
              <w:szCs w:val="30"/>
            </w:rPr>
            <w:t xml:space="preserve">4. </w:t>
          </w:r>
          <w:r>
            <w:rPr>
              <w:rStyle w:val="18"/>
              <w:rFonts w:hint="eastAsia" w:ascii="仿宋_GB2312"/>
              <w:color w:val="auto"/>
              <w:szCs w:val="30"/>
            </w:rPr>
            <w:t>公告类别的数量</w:t>
          </w:r>
          <w:r>
            <w:rPr>
              <w:rFonts w:ascii="仿宋_GB2312"/>
              <w:szCs w:val="30"/>
            </w:rPr>
            <w:tab/>
          </w:r>
          <w:r>
            <w:rPr>
              <w:rFonts w:ascii="仿宋_GB2312"/>
              <w:szCs w:val="30"/>
            </w:rPr>
            <w:fldChar w:fldCharType="begin"/>
          </w:r>
          <w:r>
            <w:rPr>
              <w:rFonts w:ascii="仿宋_GB2312"/>
              <w:szCs w:val="30"/>
            </w:rPr>
            <w:instrText xml:space="preserve"> PAGEREF _Toc80258488 \h </w:instrText>
          </w:r>
          <w:r>
            <w:rPr>
              <w:rFonts w:ascii="仿宋_GB2312"/>
              <w:szCs w:val="30"/>
            </w:rPr>
            <w:fldChar w:fldCharType="separate"/>
          </w:r>
          <w:r>
            <w:rPr>
              <w:rFonts w:ascii="仿宋_GB2312"/>
              <w:szCs w:val="30"/>
            </w:rPr>
            <w:t>11</w:t>
          </w:r>
          <w:r>
            <w:rPr>
              <w:rFonts w:ascii="仿宋_GB2312"/>
              <w:szCs w:val="30"/>
            </w:rPr>
            <w:fldChar w:fldCharType="end"/>
          </w:r>
          <w:r>
            <w:rPr>
              <w:rFonts w:ascii="仿宋_GB2312"/>
              <w:szCs w:val="30"/>
            </w:rPr>
            <w:fldChar w:fldCharType="end"/>
          </w:r>
        </w:p>
        <w:p>
          <w:pPr>
            <w:pStyle w:val="7"/>
            <w:tabs>
              <w:tab w:val="right" w:leader="dot" w:pos="8296"/>
            </w:tabs>
            <w:spacing w:line="600" w:lineRule="exact"/>
            <w:ind w:left="840"/>
            <w:rPr>
              <w:rFonts w:ascii="仿宋_GB2312"/>
              <w:szCs w:val="30"/>
            </w:rPr>
          </w:pPr>
          <w:r>
            <w:fldChar w:fldCharType="begin"/>
          </w:r>
          <w:r>
            <w:instrText xml:space="preserve"> HYPERLINK \l "_Toc80258489" </w:instrText>
          </w:r>
          <w:r>
            <w:fldChar w:fldCharType="separate"/>
          </w:r>
          <w:r>
            <w:rPr>
              <w:rStyle w:val="18"/>
              <w:rFonts w:ascii="仿宋_GB2312"/>
              <w:color w:val="auto"/>
              <w:szCs w:val="30"/>
            </w:rPr>
            <w:t xml:space="preserve">5. </w:t>
          </w:r>
          <w:r>
            <w:rPr>
              <w:rStyle w:val="18"/>
              <w:rFonts w:hint="eastAsia" w:ascii="仿宋_GB2312"/>
              <w:color w:val="auto"/>
              <w:szCs w:val="30"/>
            </w:rPr>
            <w:t>公告类别的登记方法</w:t>
          </w:r>
          <w:r>
            <w:rPr>
              <w:rFonts w:ascii="仿宋_GB2312"/>
              <w:szCs w:val="30"/>
            </w:rPr>
            <w:tab/>
          </w:r>
          <w:r>
            <w:rPr>
              <w:rFonts w:ascii="仿宋_GB2312"/>
              <w:szCs w:val="30"/>
            </w:rPr>
            <w:fldChar w:fldCharType="begin"/>
          </w:r>
          <w:r>
            <w:rPr>
              <w:rFonts w:ascii="仿宋_GB2312"/>
              <w:szCs w:val="30"/>
            </w:rPr>
            <w:instrText xml:space="preserve"> PAGEREF _Toc80258489 \h </w:instrText>
          </w:r>
          <w:r>
            <w:rPr>
              <w:rFonts w:ascii="仿宋_GB2312"/>
              <w:szCs w:val="30"/>
            </w:rPr>
            <w:fldChar w:fldCharType="separate"/>
          </w:r>
          <w:r>
            <w:rPr>
              <w:rFonts w:ascii="仿宋_GB2312"/>
              <w:szCs w:val="30"/>
            </w:rPr>
            <w:t>11</w:t>
          </w:r>
          <w:r>
            <w:rPr>
              <w:rFonts w:ascii="仿宋_GB2312"/>
              <w:szCs w:val="30"/>
            </w:rPr>
            <w:fldChar w:fldCharType="end"/>
          </w:r>
          <w:r>
            <w:rPr>
              <w:rFonts w:ascii="仿宋_GB2312"/>
              <w:szCs w:val="30"/>
            </w:rPr>
            <w:fldChar w:fldCharType="end"/>
          </w:r>
        </w:p>
        <w:p>
          <w:pPr>
            <w:pStyle w:val="7"/>
            <w:tabs>
              <w:tab w:val="right" w:leader="dot" w:pos="8296"/>
            </w:tabs>
            <w:spacing w:line="600" w:lineRule="exact"/>
            <w:ind w:left="840"/>
          </w:pPr>
          <w:r>
            <w:fldChar w:fldCharType="begin"/>
          </w:r>
          <w:r>
            <w:instrText xml:space="preserve"> HYPERLINK \l "_Toc80258490" </w:instrText>
          </w:r>
          <w:r>
            <w:fldChar w:fldCharType="separate"/>
          </w:r>
          <w:r>
            <w:rPr>
              <w:rStyle w:val="18"/>
              <w:rFonts w:ascii="仿宋_GB2312"/>
              <w:color w:val="auto"/>
              <w:szCs w:val="30"/>
            </w:rPr>
            <w:t xml:space="preserve">6. </w:t>
          </w:r>
          <w:r>
            <w:rPr>
              <w:rStyle w:val="18"/>
              <w:rFonts w:hint="eastAsia" w:ascii="仿宋_GB2312"/>
              <w:color w:val="auto"/>
              <w:szCs w:val="30"/>
            </w:rPr>
            <w:t>公告类别的登记原则</w:t>
          </w:r>
          <w:r>
            <w:rPr>
              <w:rFonts w:ascii="仿宋_GB2312"/>
              <w:szCs w:val="30"/>
            </w:rPr>
            <w:tab/>
          </w:r>
          <w:r>
            <w:rPr>
              <w:rFonts w:ascii="仿宋_GB2312"/>
              <w:szCs w:val="30"/>
            </w:rPr>
            <w:fldChar w:fldCharType="begin"/>
          </w:r>
          <w:r>
            <w:rPr>
              <w:rFonts w:ascii="仿宋_GB2312"/>
              <w:szCs w:val="30"/>
            </w:rPr>
            <w:instrText xml:space="preserve"> PAGEREF _Toc80258490 \h </w:instrText>
          </w:r>
          <w:r>
            <w:rPr>
              <w:rFonts w:ascii="仿宋_GB2312"/>
              <w:szCs w:val="30"/>
            </w:rPr>
            <w:fldChar w:fldCharType="separate"/>
          </w:r>
          <w:r>
            <w:rPr>
              <w:rFonts w:ascii="仿宋_GB2312"/>
              <w:szCs w:val="30"/>
            </w:rPr>
            <w:t>12</w:t>
          </w:r>
          <w:r>
            <w:rPr>
              <w:rFonts w:ascii="仿宋_GB2312"/>
              <w:szCs w:val="30"/>
            </w:rPr>
            <w:fldChar w:fldCharType="end"/>
          </w:r>
          <w:r>
            <w:rPr>
              <w:rFonts w:ascii="仿宋_GB2312"/>
              <w:szCs w:val="30"/>
            </w:rPr>
            <w:fldChar w:fldCharType="end"/>
          </w:r>
        </w:p>
        <w:p>
          <w:pPr>
            <w:spacing w:line="360" w:lineRule="auto"/>
            <w:rPr>
              <w:rStyle w:val="18"/>
              <w:rFonts w:hAnsi="Times New Roman" w:cs="Times New Roman"/>
              <w:b/>
              <w:color w:val="auto"/>
              <w:sz w:val="24"/>
              <w:szCs w:val="24"/>
            </w:rPr>
          </w:pPr>
          <w:r>
            <w:rPr>
              <w:rStyle w:val="18"/>
              <w:rFonts w:ascii="仿宋_GB2312" w:hAnsi="Times New Roman" w:eastAsia="仿宋_GB2312" w:cs="Times New Roman"/>
              <w:color w:val="auto"/>
              <w:sz w:val="30"/>
              <w:szCs w:val="30"/>
            </w:rPr>
            <w:fldChar w:fldCharType="end"/>
          </w:r>
        </w:p>
      </w:sdtContent>
    </w:sdt>
    <w:p>
      <w:pPr>
        <w:pStyle w:val="2"/>
        <w:jc w:val="center"/>
        <w:rPr>
          <w:color w:val="auto"/>
        </w:rPr>
      </w:pPr>
      <w:r>
        <w:rPr>
          <w:rFonts w:ascii="仿宋_GB2312" w:eastAsia="仿宋_GB2312"/>
          <w:color w:val="auto"/>
          <w:sz w:val="24"/>
          <w:szCs w:val="24"/>
        </w:rPr>
        <w:br w:type="page"/>
      </w:r>
      <w:bookmarkEnd w:id="0"/>
      <w:bookmarkEnd w:id="1"/>
      <w:bookmarkEnd w:id="2"/>
      <w:bookmarkStart w:id="3" w:name="_Toc80258470"/>
      <w:bookmarkStart w:id="4" w:name="_Toc78534296"/>
      <w:r>
        <w:rPr>
          <w:rFonts w:hint="eastAsia"/>
          <w:color w:val="auto"/>
        </w:rPr>
        <w:t>引言</w:t>
      </w:r>
      <w:bookmarkEnd w:id="3"/>
      <w:bookmarkEnd w:id="4"/>
    </w:p>
    <w:p>
      <w:pPr>
        <w:widowControl/>
        <w:spacing w:line="560" w:lineRule="exact"/>
        <w:ind w:firstLine="600" w:firstLineChars="200"/>
        <w:rPr>
          <w:rFonts w:eastAsia="仿宋_GB2312"/>
          <w:sz w:val="30"/>
          <w:szCs w:val="30"/>
        </w:rPr>
      </w:pPr>
      <w:r>
        <w:rPr>
          <w:rFonts w:hint="eastAsia" w:eastAsia="仿宋_GB2312"/>
          <w:sz w:val="30"/>
          <w:szCs w:val="30"/>
        </w:rPr>
        <w:t>为进一步提高公司债券和资产支持证券信息披露的质量和效率，促进市场主体归位尽责，切实保护投资者合法权益，上海证券交易所（以下简称上交所或本所）根据相关法律法规、部门规章、规范性文件以及本所业务规则的规定，制定了《上海证券交易所债券自律监管规则适用指引</w:t>
      </w:r>
      <w:r>
        <w:rPr>
          <w:rFonts w:hint="eastAsia" w:ascii="仿宋_GB2312" w:eastAsia="仿宋_GB2312"/>
          <w:sz w:val="30"/>
          <w:szCs w:val="30"/>
        </w:rPr>
        <w:t>第</w:t>
      </w:r>
      <w:r>
        <w:rPr>
          <w:rFonts w:ascii="仿宋_GB2312" w:eastAsia="仿宋_GB2312"/>
          <w:sz w:val="30"/>
          <w:szCs w:val="30"/>
        </w:rPr>
        <w:t>2</w:t>
      </w:r>
      <w:r>
        <w:rPr>
          <w:rFonts w:hint="eastAsia" w:eastAsia="仿宋_GB2312"/>
          <w:sz w:val="30"/>
          <w:szCs w:val="30"/>
        </w:rPr>
        <w:t>号——公司债券和资产支持证券信息披露直通车业务》，并在公司债券和资产支持证券的部分信息披露业务中实施直通车制度（以下简称直通车改造）。在此基础上，为了帮助信息披露义务人和</w:t>
      </w:r>
      <w:r>
        <w:rPr>
          <w:rFonts w:eastAsia="仿宋_GB2312"/>
          <w:sz w:val="30"/>
          <w:szCs w:val="30"/>
        </w:rPr>
        <w:t>直通车业务办理人</w:t>
      </w:r>
      <w:r>
        <w:rPr>
          <w:rFonts w:hint="eastAsia" w:eastAsia="仿宋_GB2312"/>
          <w:sz w:val="30"/>
          <w:szCs w:val="30"/>
        </w:rPr>
        <w:t>充分理解公司债券和资产支持证券信息披露直通车业务，做好信息披露文件的电子化报送工作，本所编制本指南。</w:t>
      </w:r>
    </w:p>
    <w:p>
      <w:pPr>
        <w:widowControl/>
        <w:spacing w:line="560" w:lineRule="exact"/>
        <w:ind w:firstLine="600" w:firstLineChars="200"/>
        <w:rPr>
          <w:rFonts w:eastAsia="仿宋_GB2312"/>
          <w:sz w:val="30"/>
          <w:szCs w:val="30"/>
        </w:rPr>
      </w:pPr>
      <w:r>
        <w:rPr>
          <w:rFonts w:hint="eastAsia" w:eastAsia="仿宋_GB2312"/>
          <w:sz w:val="30"/>
          <w:szCs w:val="30"/>
        </w:rPr>
        <w:t>本业务指南为开放性指南，本所将根据实际情况，对本业务指南进行不定期修订更新并发布更新版本。本所对本业务指南保留最终解释权。</w:t>
      </w:r>
    </w:p>
    <w:p>
      <w:pPr>
        <w:pStyle w:val="2"/>
        <w:rPr>
          <w:color w:val="auto"/>
        </w:rPr>
      </w:pPr>
      <w:r>
        <w:rPr>
          <w:color w:val="auto"/>
        </w:rPr>
        <w:t xml:space="preserve">    </w:t>
      </w:r>
      <w:bookmarkStart w:id="5" w:name="_Toc77257871"/>
      <w:bookmarkStart w:id="6" w:name="_Toc11949063"/>
      <w:bookmarkStart w:id="7" w:name="_Toc80258471"/>
      <w:r>
        <w:rPr>
          <w:rFonts w:hint="eastAsia"/>
          <w:color w:val="auto"/>
        </w:rPr>
        <w:t>一、</w:t>
      </w:r>
      <w:bookmarkEnd w:id="5"/>
      <w:bookmarkEnd w:id="6"/>
      <w:r>
        <w:rPr>
          <w:rFonts w:hint="eastAsia"/>
          <w:color w:val="auto"/>
        </w:rPr>
        <w:t>公司债券信息披露流程</w:t>
      </w:r>
      <w:bookmarkEnd w:id="7"/>
    </w:p>
    <w:p>
      <w:pPr>
        <w:spacing w:line="560" w:lineRule="exact"/>
        <w:ind w:firstLine="600" w:firstLineChars="200"/>
        <w:rPr>
          <w:rFonts w:ascii="仿宋_GB2312" w:eastAsia="仿宋_GB2312"/>
          <w:sz w:val="30"/>
          <w:szCs w:val="30"/>
        </w:rPr>
      </w:pPr>
      <w:r>
        <w:rPr>
          <w:rFonts w:hint="eastAsia" w:ascii="仿宋_GB2312" w:eastAsia="仿宋_GB2312"/>
          <w:sz w:val="30"/>
          <w:szCs w:val="30"/>
        </w:rPr>
        <w:t>目前，直通车改造涉及债券业务管理系统原“债券评级”、“债券付息”、“临时公告:其他公告”、“非公开发行债券后续信息披露”4个流程，改造后保留“债券评级”流程，新增“债券持续信息披露”流程，原“债券付息”、“临时公告:其他公告”、“非公开发行债券后续信息披露”3个流程通道关闭，相关公告通过新流程“持续信息披露”提交。</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优化后的“债券评级”和“持续信息披露” 流程已实现直通车披露，请务必谨慎提交公告文件，公告文件名称需确保规范完整，</w:t>
      </w:r>
      <w:r>
        <w:rPr>
          <w:rFonts w:ascii="仿宋_GB2312" w:eastAsia="仿宋_GB2312"/>
          <w:sz w:val="30"/>
          <w:szCs w:val="30"/>
        </w:rPr>
        <w:t>并与文件内容一致</w:t>
      </w:r>
      <w:r>
        <w:rPr>
          <w:rFonts w:hint="eastAsia" w:ascii="仿宋_GB2312" w:eastAsia="仿宋_GB2312"/>
          <w:sz w:val="30"/>
          <w:szCs w:val="30"/>
        </w:rPr>
        <w:t>。</w:t>
      </w:r>
    </w:p>
    <w:p>
      <w:pPr>
        <w:pStyle w:val="3"/>
      </w:pPr>
      <w:bookmarkStart w:id="8" w:name="_Toc80258472"/>
      <w:r>
        <w:rPr>
          <w:rFonts w:hint="eastAsia"/>
        </w:rPr>
        <w:t>（一）原流程变动</w:t>
      </w:r>
      <w:bookmarkEnd w:id="8"/>
    </w:p>
    <w:p>
      <w:pPr>
        <w:spacing w:line="560" w:lineRule="exact"/>
        <w:ind w:firstLine="600" w:firstLineChars="200"/>
        <w:rPr>
          <w:rFonts w:ascii="仿宋_GB2312" w:eastAsia="仿宋_GB2312"/>
          <w:sz w:val="30"/>
          <w:szCs w:val="30"/>
        </w:rPr>
      </w:pPr>
      <w:r>
        <w:rPr>
          <w:rFonts w:hint="eastAsia" w:ascii="仿宋_GB2312" w:eastAsia="仿宋_GB2312"/>
          <w:sz w:val="30"/>
          <w:szCs w:val="30"/>
        </w:rPr>
        <w:t>将原“临时公告：其他公告”“非公开发行债券后续信息披露”“债券付息”3个流程纳入“债券持续信息披露”流程。</w:t>
      </w:r>
    </w:p>
    <w:p>
      <w:pPr>
        <w:pStyle w:val="3"/>
      </w:pPr>
      <w:bookmarkStart w:id="9" w:name="_Toc80258473"/>
      <w:r>
        <w:rPr>
          <w:rFonts w:hint="eastAsia"/>
        </w:rPr>
        <w:t>（二）新流程概览</w:t>
      </w:r>
      <w:bookmarkEnd w:id="9"/>
    </w:p>
    <w:p>
      <w:pPr>
        <w:spacing w:line="560" w:lineRule="exact"/>
        <w:ind w:firstLine="600" w:firstLineChars="200"/>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“债券持续信息披露”流程下包括：“临时报告”、“年度受托管理报告”、“与增信机构相关报告”、“付息公告”和“其他公告”（注</w:t>
      </w:r>
      <w:r>
        <w:rPr>
          <w:rFonts w:ascii="仿宋_GB2312" w:eastAsia="仿宋_GB2312"/>
          <w:sz w:val="30"/>
          <w:szCs w:val="30"/>
        </w:rPr>
        <w:t>：</w:t>
      </w:r>
      <w:r>
        <w:rPr>
          <w:rFonts w:hint="eastAsia" w:ascii="仿宋_GB2312" w:eastAsia="仿宋_GB2312"/>
          <w:sz w:val="30"/>
          <w:szCs w:val="30"/>
        </w:rPr>
        <w:t>公司</w:t>
      </w:r>
      <w:r>
        <w:rPr>
          <w:rFonts w:ascii="仿宋_GB2312" w:eastAsia="仿宋_GB2312"/>
          <w:sz w:val="30"/>
          <w:szCs w:val="30"/>
        </w:rPr>
        <w:t>债券</w:t>
      </w:r>
      <w:r>
        <w:rPr>
          <w:rFonts w:hint="eastAsia" w:ascii="仿宋_GB2312" w:eastAsia="仿宋_GB2312"/>
          <w:sz w:val="30"/>
          <w:szCs w:val="30"/>
        </w:rPr>
        <w:t>发行人的定期</w:t>
      </w:r>
      <w:r>
        <w:rPr>
          <w:rFonts w:ascii="仿宋_GB2312" w:eastAsia="仿宋_GB2312"/>
          <w:sz w:val="30"/>
          <w:szCs w:val="30"/>
        </w:rPr>
        <w:t>报告</w:t>
      </w:r>
      <w:r>
        <w:rPr>
          <w:rFonts w:hint="eastAsia" w:ascii="仿宋_GB2312" w:eastAsia="仿宋_GB2312"/>
          <w:sz w:val="30"/>
          <w:szCs w:val="30"/>
        </w:rPr>
        <w:t>仍</w:t>
      </w:r>
      <w:r>
        <w:rPr>
          <w:rFonts w:ascii="仿宋_GB2312" w:eastAsia="仿宋_GB2312"/>
          <w:sz w:val="30"/>
          <w:szCs w:val="30"/>
        </w:rPr>
        <w:t>从</w:t>
      </w:r>
      <w:r>
        <w:rPr>
          <w:rFonts w:hint="eastAsia" w:ascii="仿宋_GB2312" w:eastAsia="仿宋_GB2312"/>
          <w:sz w:val="30"/>
          <w:szCs w:val="30"/>
        </w:rPr>
        <w:t>“定期报告：年度报告（新）”和“定期报告：中期报告（新）”专项</w:t>
      </w:r>
      <w:r>
        <w:rPr>
          <w:rFonts w:ascii="仿宋_GB2312" w:eastAsia="仿宋_GB2312"/>
          <w:sz w:val="30"/>
          <w:szCs w:val="30"/>
        </w:rPr>
        <w:t>流程上传</w:t>
      </w:r>
      <w:r>
        <w:rPr>
          <w:rFonts w:hint="eastAsia" w:ascii="仿宋_GB2312" w:eastAsia="仿宋_GB2312"/>
          <w:sz w:val="30"/>
          <w:szCs w:val="30"/>
        </w:rPr>
        <w:t>）。内容和申请如表</w:t>
      </w:r>
      <w:r>
        <w:rPr>
          <w:rFonts w:ascii="仿宋_GB2312" w:eastAsia="仿宋_GB2312"/>
          <w:sz w:val="30"/>
          <w:szCs w:val="30"/>
        </w:rPr>
        <w:t>1</w:t>
      </w:r>
      <w:r>
        <w:rPr>
          <w:rFonts w:hint="eastAsia" w:ascii="仿宋_GB2312" w:eastAsia="仿宋_GB2312"/>
          <w:sz w:val="30"/>
          <w:szCs w:val="30"/>
        </w:rPr>
        <w:t>和图1所示：</w:t>
      </w:r>
    </w:p>
    <w:tbl>
      <w:tblPr>
        <w:tblStyle w:val="16"/>
        <w:tblW w:w="894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268"/>
        <w:gridCol w:w="170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35" w:type="dxa"/>
            <w:shd w:val="clear" w:color="auto" w:fill="auto"/>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一级流程</w:t>
            </w:r>
          </w:p>
        </w:tc>
        <w:tc>
          <w:tcPr>
            <w:tcW w:w="2268" w:type="dxa"/>
            <w:shd w:val="clear" w:color="auto" w:fill="auto"/>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二级流程</w:t>
            </w:r>
          </w:p>
        </w:tc>
        <w:tc>
          <w:tcPr>
            <w:tcW w:w="1701" w:type="dxa"/>
            <w:shd w:val="clear" w:color="auto" w:fill="auto"/>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三级流程</w:t>
            </w:r>
          </w:p>
        </w:tc>
        <w:tc>
          <w:tcPr>
            <w:tcW w:w="3544" w:type="dxa"/>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是否直通车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35" w:type="dxa"/>
            <w:vMerge w:val="restart"/>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债券持续信息披露</w:t>
            </w:r>
          </w:p>
        </w:tc>
        <w:tc>
          <w:tcPr>
            <w:tcW w:w="2268" w:type="dxa"/>
            <w:shd w:val="clear" w:color="auto" w:fill="auto"/>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临时报告</w:t>
            </w:r>
          </w:p>
        </w:tc>
        <w:tc>
          <w:tcPr>
            <w:tcW w:w="1701" w:type="dxa"/>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3544"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视临时</w:t>
            </w:r>
            <w:r>
              <w:rPr>
                <w:rFonts w:cs="宋体" w:asciiTheme="minorEastAsia" w:hAnsiTheme="minorEastAsia"/>
                <w:kern w:val="0"/>
                <w:szCs w:val="21"/>
              </w:rPr>
              <w:t>报告</w:t>
            </w:r>
            <w:r>
              <w:rPr>
                <w:rFonts w:hint="eastAsia" w:cs="宋体" w:asciiTheme="minorEastAsia" w:hAnsiTheme="minorEastAsia"/>
                <w:kern w:val="0"/>
                <w:szCs w:val="21"/>
              </w:rPr>
              <w:t>具体公告</w:t>
            </w:r>
            <w:r>
              <w:rPr>
                <w:rFonts w:cs="宋体" w:asciiTheme="minorEastAsia" w:hAnsiTheme="minorEastAsia"/>
                <w:kern w:val="0"/>
                <w:szCs w:val="21"/>
              </w:rPr>
              <w:t>类别</w:t>
            </w:r>
            <w:r>
              <w:rPr>
                <w:rFonts w:hint="eastAsia" w:cs="宋体" w:asciiTheme="minorEastAsia" w:hAnsiTheme="minorEastAsia"/>
                <w:kern w:val="0"/>
                <w:szCs w:val="21"/>
              </w:rPr>
              <w:t>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35" w:type="dxa"/>
            <w:vMerge w:val="continue"/>
            <w:shd w:val="clear" w:color="auto" w:fill="auto"/>
            <w:noWrap/>
            <w:vAlign w:val="center"/>
          </w:tcPr>
          <w:p>
            <w:pPr>
              <w:widowControl/>
              <w:jc w:val="left"/>
              <w:rPr>
                <w:rFonts w:cs="宋体" w:asciiTheme="minorEastAsia" w:hAnsiTheme="minorEastAsia"/>
                <w:kern w:val="0"/>
                <w:szCs w:val="21"/>
              </w:rPr>
            </w:pPr>
          </w:p>
        </w:tc>
        <w:tc>
          <w:tcPr>
            <w:tcW w:w="2268" w:type="dxa"/>
            <w:shd w:val="clear" w:color="auto" w:fill="auto"/>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年度受托管理报告</w:t>
            </w:r>
          </w:p>
        </w:tc>
        <w:tc>
          <w:tcPr>
            <w:tcW w:w="1701" w:type="dxa"/>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3544"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35" w:type="dxa"/>
            <w:vMerge w:val="continue"/>
            <w:shd w:val="clear" w:color="auto" w:fill="auto"/>
            <w:noWrap/>
            <w:vAlign w:val="center"/>
          </w:tcPr>
          <w:p>
            <w:pPr>
              <w:jc w:val="left"/>
              <w:rPr>
                <w:rFonts w:cs="宋体" w:asciiTheme="minorEastAsia" w:hAnsiTheme="minorEastAsia"/>
                <w:kern w:val="0"/>
                <w:szCs w:val="21"/>
              </w:rPr>
            </w:pPr>
          </w:p>
        </w:tc>
        <w:tc>
          <w:tcPr>
            <w:tcW w:w="2268" w:type="dxa"/>
            <w:vMerge w:val="restart"/>
            <w:shd w:val="clear" w:color="auto" w:fill="auto"/>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与增信机构相关报告</w:t>
            </w:r>
          </w:p>
        </w:tc>
        <w:tc>
          <w:tcPr>
            <w:tcW w:w="1701" w:type="dxa"/>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定期报告</w:t>
            </w:r>
          </w:p>
        </w:tc>
        <w:tc>
          <w:tcPr>
            <w:tcW w:w="3544"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35" w:type="dxa"/>
            <w:vMerge w:val="continue"/>
            <w:shd w:val="clear" w:color="auto" w:fill="auto"/>
            <w:noWrap/>
            <w:vAlign w:val="center"/>
          </w:tcPr>
          <w:p>
            <w:pPr>
              <w:jc w:val="left"/>
              <w:rPr>
                <w:rFonts w:cs="宋体" w:asciiTheme="minorEastAsia" w:hAnsiTheme="minorEastAsia"/>
                <w:kern w:val="0"/>
                <w:szCs w:val="21"/>
              </w:rPr>
            </w:pPr>
          </w:p>
        </w:tc>
        <w:tc>
          <w:tcPr>
            <w:tcW w:w="2268" w:type="dxa"/>
            <w:vMerge w:val="continue"/>
            <w:shd w:val="clear" w:color="auto" w:fill="auto"/>
            <w:noWrap/>
            <w:vAlign w:val="center"/>
          </w:tcPr>
          <w:p>
            <w:pPr>
              <w:widowControl/>
              <w:jc w:val="left"/>
              <w:rPr>
                <w:rFonts w:cs="宋体" w:asciiTheme="minorEastAsia" w:hAnsiTheme="minorEastAsia"/>
                <w:kern w:val="0"/>
                <w:szCs w:val="21"/>
              </w:rPr>
            </w:pPr>
          </w:p>
        </w:tc>
        <w:tc>
          <w:tcPr>
            <w:tcW w:w="1701" w:type="dxa"/>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临时报告</w:t>
            </w:r>
          </w:p>
        </w:tc>
        <w:tc>
          <w:tcPr>
            <w:tcW w:w="3544"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35" w:type="dxa"/>
            <w:vMerge w:val="continue"/>
            <w:shd w:val="clear" w:color="auto" w:fill="auto"/>
            <w:noWrap/>
            <w:vAlign w:val="center"/>
          </w:tcPr>
          <w:p>
            <w:pPr>
              <w:jc w:val="left"/>
              <w:rPr>
                <w:rFonts w:cs="宋体" w:asciiTheme="minorEastAsia" w:hAnsiTheme="minorEastAsia"/>
                <w:kern w:val="0"/>
                <w:szCs w:val="21"/>
              </w:rPr>
            </w:pPr>
          </w:p>
        </w:tc>
        <w:tc>
          <w:tcPr>
            <w:tcW w:w="2268" w:type="dxa"/>
            <w:shd w:val="clear" w:color="auto" w:fill="auto"/>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付息公告</w:t>
            </w:r>
          </w:p>
        </w:tc>
        <w:tc>
          <w:tcPr>
            <w:tcW w:w="1701" w:type="dxa"/>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3544"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35" w:type="dxa"/>
            <w:vMerge w:val="continue"/>
            <w:shd w:val="clear" w:color="auto" w:fill="auto"/>
            <w:noWrap/>
            <w:vAlign w:val="center"/>
          </w:tcPr>
          <w:p>
            <w:pPr>
              <w:jc w:val="left"/>
              <w:rPr>
                <w:rFonts w:cs="宋体" w:asciiTheme="minorEastAsia" w:hAnsiTheme="minorEastAsia"/>
                <w:kern w:val="0"/>
                <w:szCs w:val="21"/>
              </w:rPr>
            </w:pPr>
          </w:p>
        </w:tc>
        <w:tc>
          <w:tcPr>
            <w:tcW w:w="2268" w:type="dxa"/>
            <w:shd w:val="clear" w:color="auto" w:fill="auto"/>
            <w:noWrap/>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其他公告</w:t>
            </w:r>
          </w:p>
        </w:tc>
        <w:tc>
          <w:tcPr>
            <w:tcW w:w="1701" w:type="dxa"/>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3544" w:type="dxa"/>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否</w:t>
            </w:r>
          </w:p>
        </w:tc>
      </w:tr>
    </w:tbl>
    <w:p>
      <w:pPr>
        <w:spacing w:line="300" w:lineRule="exact"/>
        <w:ind w:firstLine="602" w:firstLineChars="200"/>
        <w:jc w:val="center"/>
        <w:rPr>
          <w:rFonts w:asciiTheme="minorEastAsia" w:hAnsiTheme="minorEastAsia"/>
          <w:szCs w:val="21"/>
        </w:rPr>
      </w:pPr>
      <w:r>
        <w:rPr>
          <w:rFonts w:ascii="仿宋_GB2312" w:eastAsia="仿宋_GB2312"/>
          <w:b/>
          <w:sz w:val="30"/>
          <w:szCs w:val="30"/>
        </w:rPr>
        <w:drawing>
          <wp:anchor distT="0" distB="0" distL="114300" distR="114300" simplePos="0" relativeHeight="251659264" behindDoc="1" locked="0" layoutInCell="1" allowOverlap="1">
            <wp:simplePos x="0" y="0"/>
            <wp:positionH relativeFrom="column">
              <wp:posOffset>66675</wp:posOffset>
            </wp:positionH>
            <wp:positionV relativeFrom="paragraph">
              <wp:posOffset>248920</wp:posOffset>
            </wp:positionV>
            <wp:extent cx="5474970" cy="3629025"/>
            <wp:effectExtent l="0" t="0" r="0" b="0"/>
            <wp:wrapTopAndBottom/>
            <wp:docPr id="3" name="图片 0" descr="微信图片_2021061809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微信图片_20210618091739.png"/>
                    <pic:cNvPicPr>
                      <a:picLocks noChangeAspect="1"/>
                    </pic:cNvPicPr>
                  </pic:nvPicPr>
                  <pic:blipFill>
                    <a:blip r:embed="rId5" cstate="print"/>
                    <a:stretch>
                      <a:fillRect/>
                    </a:stretch>
                  </pic:blipFill>
                  <pic:spPr>
                    <a:xfrm>
                      <a:off x="0" y="0"/>
                      <a:ext cx="5474970" cy="3629025"/>
                    </a:xfrm>
                    <a:prstGeom prst="rect">
                      <a:avLst/>
                    </a:prstGeom>
                  </pic:spPr>
                </pic:pic>
              </a:graphicData>
            </a:graphic>
          </wp:anchor>
        </w:drawing>
      </w:r>
      <w:r>
        <w:rPr>
          <w:rFonts w:hint="eastAsia" w:asciiTheme="minorEastAsia" w:hAnsiTheme="minorEastAsia"/>
          <w:szCs w:val="21"/>
        </w:rPr>
        <w:t>表</w:t>
      </w:r>
      <w:r>
        <w:rPr>
          <w:rFonts w:asciiTheme="minorEastAsia" w:hAnsiTheme="minorEastAsia"/>
          <w:szCs w:val="21"/>
        </w:rPr>
        <w:t>1：“债券持续信息披露”流程及直通车属性情况</w:t>
      </w:r>
    </w:p>
    <w:p>
      <w:pPr>
        <w:spacing w:line="300" w:lineRule="exact"/>
        <w:ind w:firstLine="420" w:firstLineChars="200"/>
        <w:jc w:val="center"/>
        <w:rPr>
          <w:rFonts w:asciiTheme="minorEastAsia" w:hAnsiTheme="minorEastAsia"/>
          <w:szCs w:val="21"/>
        </w:rPr>
      </w:pPr>
      <w:r>
        <w:rPr>
          <w:rFonts w:hint="eastAsia" w:asciiTheme="minorEastAsia" w:hAnsiTheme="minorEastAsia"/>
          <w:szCs w:val="21"/>
        </w:rPr>
        <w:t>图</w:t>
      </w:r>
      <w:r>
        <w:rPr>
          <w:rFonts w:asciiTheme="minorEastAsia" w:hAnsiTheme="minorEastAsia"/>
          <w:szCs w:val="21"/>
        </w:rPr>
        <w:t>1：“债券持续信息披露”新建申请界面</w:t>
      </w:r>
    </w:p>
    <w:p>
      <w:pPr>
        <w:pStyle w:val="3"/>
      </w:pPr>
      <w:bookmarkStart w:id="10" w:name="_Toc80258474"/>
      <w:r>
        <w:rPr>
          <w:rFonts w:hint="eastAsia"/>
        </w:rPr>
        <w:t>（三）“临时报告”流程详解</w:t>
      </w:r>
      <w:bookmarkEnd w:id="10"/>
    </w:p>
    <w:p>
      <w:pPr>
        <w:pStyle w:val="26"/>
        <w:spacing w:line="560" w:lineRule="exact"/>
        <w:ind w:firstLine="600"/>
        <w:rPr>
          <w:rFonts w:ascii="仿宋_GB2312" w:eastAsia="仿宋_GB2312"/>
          <w:sz w:val="30"/>
          <w:szCs w:val="30"/>
        </w:rPr>
      </w:pPr>
      <w:r>
        <w:rPr>
          <w:rFonts w:hint="eastAsia" w:ascii="仿宋_GB2312" w:eastAsia="仿宋_GB2312"/>
          <w:sz w:val="30"/>
          <w:szCs w:val="30"/>
        </w:rPr>
        <w:t>作为“债券持续信息披露”下主要的二级流程，“临时报告”包括发行人临时</w:t>
      </w:r>
      <w:r>
        <w:rPr>
          <w:rFonts w:ascii="仿宋_GB2312" w:eastAsia="仿宋_GB2312"/>
          <w:sz w:val="30"/>
          <w:szCs w:val="30"/>
        </w:rPr>
        <w:t>报告</w:t>
      </w:r>
      <w:r>
        <w:rPr>
          <w:rFonts w:hint="eastAsia" w:ascii="仿宋_GB2312" w:eastAsia="仿宋_GB2312"/>
          <w:sz w:val="30"/>
          <w:szCs w:val="30"/>
        </w:rPr>
        <w:t>和受托管理人临时受托管理报告，其公告类别及直通车属性如表2所示：</w:t>
      </w:r>
    </w:p>
    <w:tbl>
      <w:tblPr>
        <w:tblStyle w:val="16"/>
        <w:tblW w:w="5000" w:type="pct"/>
        <w:tblInd w:w="0" w:type="dxa"/>
        <w:tblLayout w:type="autofit"/>
        <w:tblCellMar>
          <w:top w:w="0" w:type="dxa"/>
          <w:left w:w="108" w:type="dxa"/>
          <w:bottom w:w="0" w:type="dxa"/>
          <w:right w:w="108" w:type="dxa"/>
        </w:tblCellMar>
      </w:tblPr>
      <w:tblGrid>
        <w:gridCol w:w="723"/>
        <w:gridCol w:w="6262"/>
        <w:gridCol w:w="1537"/>
      </w:tblGrid>
      <w:tr>
        <w:tblPrEx>
          <w:tblCellMar>
            <w:top w:w="0" w:type="dxa"/>
            <w:left w:w="108" w:type="dxa"/>
            <w:bottom w:w="0" w:type="dxa"/>
            <w:right w:w="108" w:type="dxa"/>
          </w:tblCellMar>
        </w:tblPrEx>
        <w:trPr>
          <w:trHeight w:val="340" w:hRule="atLeast"/>
          <w:tblHeader/>
        </w:trPr>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序号</w:t>
            </w:r>
          </w:p>
        </w:tc>
        <w:tc>
          <w:tcPr>
            <w:tcW w:w="367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公告类别</w:t>
            </w:r>
          </w:p>
        </w:tc>
        <w:tc>
          <w:tcPr>
            <w:tcW w:w="9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kern w:val="0"/>
                <w:sz w:val="24"/>
                <w:szCs w:val="24"/>
              </w:rPr>
            </w:pPr>
            <w:r>
              <w:rPr>
                <w:rFonts w:hint="eastAsia" w:ascii="仿宋_GB2312" w:hAnsi="等线" w:eastAsia="仿宋_GB2312" w:cs="宋体"/>
                <w:b/>
                <w:bCs/>
                <w:kern w:val="0"/>
                <w:sz w:val="24"/>
                <w:szCs w:val="24"/>
              </w:rPr>
              <w:t>是否直通车</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公司生产经营状况发生重大变化</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公司发生重大损失</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公司关于市场传闻的说明</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4</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发行人出售、转让资产或进行重大投资</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5</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公司放弃债权或者财产</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6</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公司重大资产重组</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7</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公司重大资产报废</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8</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公司资产被查封、扣押或冻结</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9</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公司新增重大借款</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10</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公司转移或承担债务</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11</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公司重大资产抵质押</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12</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公司对外提供重大担保</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13</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公司债务违约</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14</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公司进行重大债务重组</w:t>
            </w:r>
          </w:p>
        </w:tc>
        <w:tc>
          <w:tcPr>
            <w:tcW w:w="902" w:type="pct"/>
            <w:tcBorders>
              <w:top w:val="nil"/>
              <w:left w:val="nil"/>
              <w:bottom w:val="single" w:color="auto" w:sz="4" w:space="0"/>
              <w:right w:val="single" w:color="auto" w:sz="4" w:space="0"/>
            </w:tcBorders>
            <w:shd w:val="clear" w:color="auto" w:fill="auto"/>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15</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公司股权、经营权被委托管理</w:t>
            </w:r>
          </w:p>
        </w:tc>
        <w:tc>
          <w:tcPr>
            <w:tcW w:w="902" w:type="pct"/>
            <w:tcBorders>
              <w:top w:val="nil"/>
              <w:left w:val="nil"/>
              <w:bottom w:val="single" w:color="auto" w:sz="4" w:space="0"/>
              <w:right w:val="single" w:color="auto" w:sz="4" w:space="0"/>
            </w:tcBorders>
            <w:shd w:val="clear" w:color="auto" w:fill="auto"/>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16</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公司被托管或者接管</w:t>
            </w:r>
          </w:p>
        </w:tc>
        <w:tc>
          <w:tcPr>
            <w:tcW w:w="902" w:type="pct"/>
            <w:tcBorders>
              <w:top w:val="nil"/>
              <w:left w:val="nil"/>
              <w:bottom w:val="single" w:color="auto" w:sz="4" w:space="0"/>
              <w:right w:val="single" w:color="auto" w:sz="4" w:space="0"/>
            </w:tcBorders>
            <w:shd w:val="clear" w:color="auto" w:fill="auto"/>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17</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公司股权结构发生重大变化或控股股东、实际控制人变更</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18</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公司丧失对重要子公司的控制权</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19</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公司减资、合并、分立、被责令关闭、解散</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20</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公司进入破产程序</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21</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公司被调查、受到处罚处分、被采取监管措施</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22</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公司法定代表人、控股股东、实际控制人、董监高被调查、采取强制措施</w:t>
            </w:r>
          </w:p>
        </w:tc>
        <w:tc>
          <w:tcPr>
            <w:tcW w:w="902" w:type="pct"/>
            <w:tcBorders>
              <w:top w:val="nil"/>
              <w:left w:val="nil"/>
              <w:bottom w:val="single" w:color="auto" w:sz="4" w:space="0"/>
              <w:right w:val="single" w:color="auto" w:sz="4" w:space="0"/>
            </w:tcBorders>
            <w:shd w:val="clear" w:color="auto" w:fill="auto"/>
          </w:tcPr>
          <w:p>
            <w:pPr>
              <w:jc w:val="center"/>
              <w:rPr>
                <w:rFonts w:ascii="仿宋_GB2312" w:hAnsi="宋体" w:eastAsia="仿宋_GB2312" w:cs="宋体"/>
                <w:kern w:val="0"/>
                <w:sz w:val="24"/>
              </w:rPr>
            </w:pPr>
          </w:p>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23</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公司存在严重失信行为</w:t>
            </w:r>
          </w:p>
        </w:tc>
        <w:tc>
          <w:tcPr>
            <w:tcW w:w="902" w:type="pct"/>
            <w:tcBorders>
              <w:top w:val="nil"/>
              <w:left w:val="nil"/>
              <w:bottom w:val="single" w:color="auto" w:sz="4" w:space="0"/>
              <w:right w:val="single" w:color="auto" w:sz="4" w:space="0"/>
            </w:tcBorders>
            <w:shd w:val="clear" w:color="auto" w:fill="auto"/>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24</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公司法定代表人、董事长或者总经理无法履行职责</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25</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发行人董事、监事或者总经理发生变动（含信息披露负责人变更）</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26</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公司涉及重大诉讼、仲裁</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27</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公司分配股利</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28</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公司名称变更（含修改公司章程）</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29</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中介机构发生变更</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30</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发行人或债券信用评级发生调整</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31</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增信措施发生变更</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w:t>
            </w:r>
            <w:r>
              <w:rPr>
                <w:rFonts w:ascii="仿宋_GB2312" w:hAnsi="等线" w:eastAsia="仿宋_GB2312" w:cs="宋体"/>
                <w:kern w:val="0"/>
                <w:sz w:val="24"/>
                <w:szCs w:val="24"/>
              </w:rPr>
              <w:t>2</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回售提示性公告</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33</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赎回提示性公告</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34</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分期偿还提示性公告</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35</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募集资金变更（含募集资金调整）</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36</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票面利率不调整公告（含票面利率拟调整公告、票面利率调整提示性公告）</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37</w:t>
            </w:r>
          </w:p>
        </w:tc>
        <w:tc>
          <w:tcPr>
            <w:tcW w:w="367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其他临时报告</w:t>
            </w:r>
          </w:p>
        </w:tc>
        <w:tc>
          <w:tcPr>
            <w:tcW w:w="90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宋体" w:eastAsia="仿宋_GB2312" w:cs="宋体"/>
                <w:kern w:val="0"/>
                <w:sz w:val="24"/>
              </w:rPr>
              <w:t>否</w:t>
            </w:r>
          </w:p>
        </w:tc>
      </w:tr>
    </w:tbl>
    <w:p>
      <w:pPr>
        <w:spacing w:line="300" w:lineRule="exact"/>
        <w:ind w:firstLine="420" w:firstLineChars="200"/>
        <w:jc w:val="center"/>
        <w:rPr>
          <w:rFonts w:asciiTheme="minorEastAsia" w:hAnsiTheme="minorEastAsia"/>
          <w:szCs w:val="21"/>
        </w:rPr>
      </w:pPr>
      <w:r>
        <w:rPr>
          <w:rFonts w:hint="eastAsia" w:asciiTheme="minorEastAsia" w:hAnsiTheme="minorEastAsia"/>
          <w:szCs w:val="21"/>
        </w:rPr>
        <w:t>表</w:t>
      </w:r>
      <w:r>
        <w:rPr>
          <w:rFonts w:asciiTheme="minorEastAsia" w:hAnsiTheme="minorEastAsia"/>
          <w:szCs w:val="21"/>
        </w:rPr>
        <w:t>2：“临时报告”</w:t>
      </w:r>
      <w:r>
        <w:rPr>
          <w:rFonts w:hint="eastAsia" w:asciiTheme="minorEastAsia" w:hAnsiTheme="minorEastAsia"/>
          <w:szCs w:val="21"/>
        </w:rPr>
        <w:t>公告类别</w:t>
      </w:r>
      <w:r>
        <w:rPr>
          <w:rFonts w:asciiTheme="minorEastAsia" w:hAnsiTheme="minorEastAsia"/>
          <w:szCs w:val="21"/>
        </w:rPr>
        <w:t>及直通车属性情况</w:t>
      </w:r>
    </w:p>
    <w:p>
      <w:pPr>
        <w:pStyle w:val="3"/>
      </w:pPr>
      <w:bookmarkStart w:id="11" w:name="_Toc42245176"/>
      <w:bookmarkStart w:id="12" w:name="_Toc80258475"/>
      <w:r>
        <w:rPr>
          <w:rFonts w:hint="eastAsia"/>
        </w:rPr>
        <w:t>（四）“债券付息”流程</w:t>
      </w:r>
      <w:bookmarkEnd w:id="11"/>
      <w:r>
        <w:rPr>
          <w:rFonts w:hint="eastAsia"/>
        </w:rPr>
        <w:t>详解</w:t>
      </w:r>
      <w:bookmarkEnd w:id="12"/>
    </w:p>
    <w:p>
      <w:pPr>
        <w:spacing w:line="560" w:lineRule="exact"/>
        <w:ind w:firstLine="600" w:firstLineChars="200"/>
        <w:rPr>
          <w:rFonts w:ascii="仿宋_GB2312" w:eastAsia="仿宋_GB2312"/>
          <w:sz w:val="30"/>
          <w:szCs w:val="30"/>
        </w:rPr>
      </w:pPr>
      <w:r>
        <w:rPr>
          <w:rFonts w:ascii="仿宋_GB2312" w:eastAsia="仿宋_GB2312"/>
          <w:sz w:val="30"/>
          <w:szCs w:val="30"/>
        </w:rPr>
        <w:drawing>
          <wp:anchor distT="0" distB="0" distL="114300" distR="114300" simplePos="0" relativeHeight="251660288" behindDoc="1" locked="0" layoutInCell="1" allowOverlap="1">
            <wp:simplePos x="0" y="0"/>
            <wp:positionH relativeFrom="column">
              <wp:posOffset>38100</wp:posOffset>
            </wp:positionH>
            <wp:positionV relativeFrom="paragraph">
              <wp:posOffset>797560</wp:posOffset>
            </wp:positionV>
            <wp:extent cx="5276215" cy="5114925"/>
            <wp:effectExtent l="0" t="0" r="0" b="0"/>
            <wp:wrapTopAndBottom/>
            <wp:docPr id="4" name="图片 3" descr="微信图片_2021061814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10618141745.png"/>
                    <pic:cNvPicPr>
                      <a:picLocks noChangeAspect="1"/>
                    </pic:cNvPicPr>
                  </pic:nvPicPr>
                  <pic:blipFill>
                    <a:blip r:embed="rId6" cstate="print"/>
                    <a:stretch>
                      <a:fillRect/>
                    </a:stretch>
                  </pic:blipFill>
                  <pic:spPr>
                    <a:xfrm>
                      <a:off x="0" y="0"/>
                      <a:ext cx="5276215" cy="5114925"/>
                    </a:xfrm>
                    <a:prstGeom prst="rect">
                      <a:avLst/>
                    </a:prstGeom>
                  </pic:spPr>
                </pic:pic>
              </a:graphicData>
            </a:graphic>
          </wp:anchor>
        </w:drawing>
      </w:r>
      <w:r>
        <w:rPr>
          <w:rFonts w:hint="eastAsia" w:ascii="仿宋_GB2312" w:eastAsia="仿宋_GB2312"/>
          <w:sz w:val="30"/>
          <w:szCs w:val="30"/>
        </w:rPr>
        <w:t xml:space="preserve"> “债券付息”流程已由一级流程归并为“债券持续信息披露”下的二级流程“付息公告”。如图2所示：</w:t>
      </w:r>
    </w:p>
    <w:p>
      <w:pPr>
        <w:spacing w:line="300" w:lineRule="exact"/>
        <w:ind w:firstLine="420" w:firstLineChars="200"/>
        <w:jc w:val="center"/>
        <w:rPr>
          <w:rFonts w:asciiTheme="minorEastAsia" w:hAnsiTheme="minorEastAsia"/>
          <w:szCs w:val="21"/>
        </w:rPr>
      </w:pPr>
      <w:r>
        <w:rPr>
          <w:rFonts w:hint="eastAsia" w:asciiTheme="minorEastAsia" w:hAnsiTheme="minorEastAsia"/>
          <w:szCs w:val="21"/>
        </w:rPr>
        <w:t>图</w:t>
      </w:r>
      <w:r>
        <w:rPr>
          <w:rFonts w:asciiTheme="minorEastAsia" w:hAnsiTheme="minorEastAsia"/>
          <w:szCs w:val="21"/>
        </w:rPr>
        <w:t>2：“付息公告”具体路径</w:t>
      </w:r>
    </w:p>
    <w:p>
      <w:pPr>
        <w:pStyle w:val="3"/>
      </w:pPr>
      <w:bookmarkStart w:id="13" w:name="_Toc42245174"/>
      <w:bookmarkStart w:id="14" w:name="_Toc80258476"/>
      <w:r>
        <w:rPr>
          <w:rFonts w:hint="eastAsia"/>
        </w:rPr>
        <w:t>（五）“债券评级”流程</w:t>
      </w:r>
      <w:bookmarkEnd w:id="13"/>
      <w:r>
        <w:rPr>
          <w:rFonts w:hint="eastAsia"/>
        </w:rPr>
        <w:t>调整</w:t>
      </w:r>
      <w:bookmarkEnd w:id="14"/>
    </w:p>
    <w:p>
      <w:pPr>
        <w:spacing w:line="560" w:lineRule="exact"/>
        <w:ind w:firstLine="600" w:firstLineChars="200"/>
        <w:rPr>
          <w:rFonts w:ascii="仿宋_GB2312" w:eastAsia="仿宋_GB2312"/>
          <w:sz w:val="30"/>
          <w:szCs w:val="30"/>
        </w:rPr>
      </w:pPr>
      <w:r>
        <w:rPr>
          <w:rFonts w:ascii="仿宋_GB2312" w:eastAsia="仿宋_GB2312"/>
          <w:sz w:val="30"/>
          <w:szCs w:val="30"/>
        </w:rPr>
        <w:drawing>
          <wp:anchor distT="0" distB="0" distL="114300" distR="114300" simplePos="0" relativeHeight="251662336" behindDoc="1" locked="0" layoutInCell="1" allowOverlap="1">
            <wp:simplePos x="0" y="0"/>
            <wp:positionH relativeFrom="column">
              <wp:posOffset>0</wp:posOffset>
            </wp:positionH>
            <wp:positionV relativeFrom="paragraph">
              <wp:posOffset>711200</wp:posOffset>
            </wp:positionV>
            <wp:extent cx="5276850" cy="5486400"/>
            <wp:effectExtent l="0" t="0" r="0" b="0"/>
            <wp:wrapTopAndBottom/>
            <wp:docPr id="1" name="图片 0" descr="微信图片_20210618140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210618140656.png"/>
                    <pic:cNvPicPr>
                      <a:picLocks noChangeAspect="1"/>
                    </pic:cNvPicPr>
                  </pic:nvPicPr>
                  <pic:blipFill>
                    <a:blip r:embed="rId7" cstate="print"/>
                    <a:stretch>
                      <a:fillRect/>
                    </a:stretch>
                  </pic:blipFill>
                  <pic:spPr>
                    <a:xfrm>
                      <a:off x="0" y="0"/>
                      <a:ext cx="5276850" cy="5486400"/>
                    </a:xfrm>
                    <a:prstGeom prst="rect">
                      <a:avLst/>
                    </a:prstGeom>
                  </pic:spPr>
                </pic:pic>
              </a:graphicData>
            </a:graphic>
          </wp:anchor>
        </w:drawing>
      </w:r>
      <w:r>
        <w:rPr>
          <w:rFonts w:hint="eastAsia" w:ascii="仿宋_GB2312" w:eastAsia="仿宋_GB2312"/>
          <w:sz w:val="30"/>
          <w:szCs w:val="30"/>
        </w:rPr>
        <w:t>新设评级报告“公告类型”选项：可选择“定期跟踪评级报告/不定期跟踪评级报告</w:t>
      </w:r>
      <w:r>
        <w:rPr>
          <w:rFonts w:ascii="仿宋_GB2312" w:eastAsia="仿宋_GB2312"/>
          <w:sz w:val="30"/>
          <w:szCs w:val="30"/>
        </w:rPr>
        <w:t xml:space="preserve"> </w:t>
      </w:r>
      <w:r>
        <w:rPr>
          <w:rFonts w:hint="eastAsia" w:ascii="仿宋_GB2312" w:eastAsia="仿宋_GB2312"/>
          <w:sz w:val="30"/>
          <w:szCs w:val="30"/>
        </w:rPr>
        <w:t>/其他”。如图</w:t>
      </w:r>
      <w:r>
        <w:rPr>
          <w:rFonts w:ascii="仿宋_GB2312" w:eastAsia="仿宋_GB2312"/>
          <w:sz w:val="30"/>
          <w:szCs w:val="30"/>
        </w:rPr>
        <w:t>3</w:t>
      </w:r>
      <w:r>
        <w:rPr>
          <w:rFonts w:hint="eastAsia" w:ascii="仿宋_GB2312" w:eastAsia="仿宋_GB2312"/>
          <w:sz w:val="30"/>
          <w:szCs w:val="30"/>
        </w:rPr>
        <w:t>所示：</w:t>
      </w:r>
    </w:p>
    <w:p>
      <w:pPr>
        <w:spacing w:line="300" w:lineRule="exact"/>
        <w:ind w:firstLine="420" w:firstLineChars="200"/>
        <w:jc w:val="center"/>
        <w:rPr>
          <w:rFonts w:asciiTheme="minorEastAsia" w:hAnsiTheme="minorEastAsia"/>
          <w:szCs w:val="21"/>
        </w:rPr>
      </w:pPr>
      <w:r>
        <w:rPr>
          <w:rFonts w:hint="eastAsia" w:asciiTheme="minorEastAsia" w:hAnsiTheme="minorEastAsia"/>
          <w:szCs w:val="21"/>
        </w:rPr>
        <w:t>图3：“债券评级”新建申请界面</w:t>
      </w:r>
    </w:p>
    <w:p>
      <w:pPr>
        <w:spacing w:line="300" w:lineRule="exact"/>
        <w:ind w:firstLine="420" w:firstLineChars="200"/>
        <w:jc w:val="center"/>
        <w:rPr>
          <w:rFonts w:asciiTheme="minorEastAsia" w:hAnsiTheme="minorEastAsia"/>
          <w:szCs w:val="21"/>
        </w:rPr>
      </w:pPr>
    </w:p>
    <w:p>
      <w:pPr>
        <w:pStyle w:val="2"/>
        <w:rPr>
          <w:color w:val="auto"/>
        </w:rPr>
      </w:pPr>
      <w:bookmarkStart w:id="15" w:name="_Toc80258477"/>
      <w:r>
        <w:rPr>
          <w:color w:val="auto"/>
        </w:rPr>
        <w:t xml:space="preserve">    </w:t>
      </w:r>
      <w:r>
        <w:rPr>
          <w:rFonts w:hint="eastAsia"/>
          <w:color w:val="auto"/>
        </w:rPr>
        <w:t>二、资产支持证券信息披露流程</w:t>
      </w:r>
      <w:bookmarkEnd w:id="15"/>
    </w:p>
    <w:p>
      <w:pPr>
        <w:spacing w:line="560" w:lineRule="exact"/>
        <w:ind w:firstLine="600" w:firstLineChars="200"/>
        <w:rPr>
          <w:rFonts w:ascii="仿宋_GB2312" w:eastAsia="仿宋_GB2312"/>
          <w:sz w:val="30"/>
          <w:szCs w:val="30"/>
        </w:rPr>
      </w:pPr>
      <w:r>
        <w:rPr>
          <w:rFonts w:hint="eastAsia" w:ascii="仿宋_GB2312" w:eastAsia="仿宋_GB2312"/>
          <w:sz w:val="30"/>
          <w:szCs w:val="30"/>
        </w:rPr>
        <w:t>直通车改造涉及原“资产支持证券信息披露”和“定期报告：</w:t>
      </w:r>
      <w:r>
        <w:rPr>
          <w:rFonts w:ascii="仿宋_GB2312" w:eastAsia="仿宋_GB2312"/>
          <w:sz w:val="30"/>
          <w:szCs w:val="30"/>
        </w:rPr>
        <w:t>ABS定期报告</w:t>
      </w:r>
      <w:r>
        <w:rPr>
          <w:rFonts w:hint="eastAsia" w:ascii="仿宋_GB2312" w:eastAsia="仿宋_GB2312"/>
          <w:sz w:val="30"/>
          <w:szCs w:val="30"/>
        </w:rPr>
        <w:t>”，优化后统一归并为“ABS信息披露”流程，实施直通车制度安排。具体内容如下:</w:t>
      </w:r>
    </w:p>
    <w:p>
      <w:pPr>
        <w:pStyle w:val="3"/>
      </w:pPr>
      <w:bookmarkStart w:id="16" w:name="_Toc80258478"/>
      <w:r>
        <w:rPr>
          <w:rFonts w:hint="eastAsia"/>
        </w:rPr>
        <w:t>（一）新流程概览</w:t>
      </w:r>
      <w:bookmarkEnd w:id="16"/>
    </w:p>
    <w:tbl>
      <w:tblPr>
        <w:tblStyle w:val="16"/>
        <w:tblW w:w="5000" w:type="pct"/>
        <w:tblInd w:w="0" w:type="dxa"/>
        <w:tblLayout w:type="autofit"/>
        <w:tblCellMar>
          <w:top w:w="0" w:type="dxa"/>
          <w:left w:w="108" w:type="dxa"/>
          <w:bottom w:w="0" w:type="dxa"/>
          <w:right w:w="108" w:type="dxa"/>
        </w:tblCellMar>
      </w:tblPr>
      <w:tblGrid>
        <w:gridCol w:w="1244"/>
        <w:gridCol w:w="1277"/>
        <w:gridCol w:w="4027"/>
        <w:gridCol w:w="1974"/>
      </w:tblGrid>
      <w:tr>
        <w:tblPrEx>
          <w:tblCellMar>
            <w:top w:w="0" w:type="dxa"/>
            <w:left w:w="108" w:type="dxa"/>
            <w:bottom w:w="0" w:type="dxa"/>
            <w:right w:w="108" w:type="dxa"/>
          </w:tblCellMar>
        </w:tblPrEx>
        <w:trPr>
          <w:trHeight w:val="624" w:hRule="atLeast"/>
        </w:trPr>
        <w:tc>
          <w:tcPr>
            <w:tcW w:w="730" w:type="pc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一级流程</w:t>
            </w:r>
          </w:p>
        </w:tc>
        <w:tc>
          <w:tcPr>
            <w:tcW w:w="74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二级流程</w:t>
            </w:r>
          </w:p>
        </w:tc>
        <w:tc>
          <w:tcPr>
            <w:tcW w:w="236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三级流程</w:t>
            </w:r>
          </w:p>
        </w:tc>
        <w:tc>
          <w:tcPr>
            <w:tcW w:w="1158" w:type="pct"/>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b/>
                <w:sz w:val="24"/>
                <w:szCs w:val="24"/>
              </w:rPr>
            </w:pPr>
            <w:r>
              <w:rPr>
                <w:rFonts w:hint="eastAsia" w:ascii="仿宋_GB2312" w:eastAsia="仿宋_GB2312" w:hAnsiTheme="minorEastAsia"/>
                <w:b/>
                <w:sz w:val="24"/>
                <w:szCs w:val="24"/>
              </w:rPr>
              <w:t>是否直通车</w:t>
            </w:r>
          </w:p>
        </w:tc>
      </w:tr>
      <w:tr>
        <w:tblPrEx>
          <w:tblCellMar>
            <w:top w:w="0" w:type="dxa"/>
            <w:left w:w="108" w:type="dxa"/>
            <w:bottom w:w="0" w:type="dxa"/>
            <w:right w:w="108" w:type="dxa"/>
          </w:tblCellMar>
        </w:tblPrEx>
        <w:trPr>
          <w:trHeight w:val="624" w:hRule="atLeast"/>
        </w:trPr>
        <w:tc>
          <w:tcPr>
            <w:tcW w:w="730" w:type="pct"/>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ABS信息披露</w:t>
            </w:r>
          </w:p>
        </w:tc>
        <w:tc>
          <w:tcPr>
            <w:tcW w:w="74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临时报告</w:t>
            </w:r>
          </w:p>
        </w:tc>
        <w:tc>
          <w:tcPr>
            <w:tcW w:w="236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w:t>
            </w:r>
          </w:p>
        </w:tc>
        <w:tc>
          <w:tcPr>
            <w:tcW w:w="1158" w:type="pct"/>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cs="宋体" w:hAnsiTheme="minorEastAsia"/>
                <w:kern w:val="0"/>
                <w:sz w:val="24"/>
                <w:szCs w:val="24"/>
              </w:rPr>
              <w:t>视临时报告具体类别而定</w:t>
            </w:r>
          </w:p>
        </w:tc>
      </w:tr>
      <w:tr>
        <w:tblPrEx>
          <w:tblCellMar>
            <w:top w:w="0" w:type="dxa"/>
            <w:left w:w="108" w:type="dxa"/>
            <w:bottom w:w="0" w:type="dxa"/>
            <w:right w:w="108" w:type="dxa"/>
          </w:tblCellMar>
        </w:tblPrEx>
        <w:trPr>
          <w:trHeight w:val="624" w:hRule="atLeast"/>
        </w:trPr>
        <w:tc>
          <w:tcPr>
            <w:tcW w:w="730" w:type="pct"/>
            <w:vMerge w:val="continue"/>
            <w:tcBorders>
              <w:left w:val="single" w:color="auto"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7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atLeast"/>
              <w:jc w:val="center"/>
              <w:rPr>
                <w:rFonts w:ascii="仿宋_GB2312" w:eastAsia="仿宋_GB2312" w:hAnsiTheme="minorEastAsia"/>
                <w:sz w:val="24"/>
                <w:szCs w:val="24"/>
              </w:rPr>
            </w:pPr>
            <w:r>
              <w:rPr>
                <w:rFonts w:hint="eastAsia" w:ascii="仿宋_GB2312" w:eastAsia="仿宋_GB2312" w:hAnsiTheme="minorEastAsia"/>
                <w:sz w:val="24"/>
                <w:szCs w:val="24"/>
              </w:rPr>
              <w:t>定期报告</w:t>
            </w:r>
          </w:p>
        </w:tc>
        <w:tc>
          <w:tcPr>
            <w:tcW w:w="23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资产管理报告</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年度/半年度/季度/月度/其他）</w:t>
            </w:r>
          </w:p>
        </w:tc>
        <w:tc>
          <w:tcPr>
            <w:tcW w:w="1158" w:type="pct"/>
            <w:vMerge w:val="restart"/>
            <w:tcBorders>
              <w:top w:val="single" w:color="auto" w:sz="4" w:space="0"/>
              <w:left w:val="nil"/>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是</w:t>
            </w:r>
          </w:p>
        </w:tc>
      </w:tr>
      <w:tr>
        <w:tblPrEx>
          <w:tblCellMar>
            <w:top w:w="0" w:type="dxa"/>
            <w:left w:w="108" w:type="dxa"/>
            <w:bottom w:w="0" w:type="dxa"/>
            <w:right w:w="108" w:type="dxa"/>
          </w:tblCellMar>
        </w:tblPrEx>
        <w:trPr>
          <w:trHeight w:val="624" w:hRule="atLeast"/>
        </w:trPr>
        <w:tc>
          <w:tcPr>
            <w:tcW w:w="730" w:type="pct"/>
            <w:vMerge w:val="continue"/>
            <w:tcBorders>
              <w:left w:val="single" w:color="auto"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749" w:type="pct"/>
            <w:vMerge w:val="continue"/>
            <w:tcBorders>
              <w:top w:val="single" w:color="auto" w:sz="4" w:space="0"/>
              <w:left w:val="single" w:color="auto" w:sz="4" w:space="0"/>
              <w:bottom w:val="single" w:color="auto"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23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托管报告</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（半年度</w:t>
            </w:r>
            <w:r>
              <w:rPr>
                <w:rFonts w:ascii="仿宋_GB2312" w:hAnsi="宋体" w:eastAsia="仿宋_GB2312" w:cs="宋体"/>
                <w:kern w:val="0"/>
                <w:sz w:val="24"/>
                <w:szCs w:val="24"/>
              </w:rPr>
              <w:t>/季度/月度/其他）</w:t>
            </w:r>
          </w:p>
        </w:tc>
        <w:tc>
          <w:tcPr>
            <w:tcW w:w="1158" w:type="pct"/>
            <w:vMerge w:val="continue"/>
            <w:tcBorders>
              <w:left w:val="nil"/>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624" w:hRule="atLeast"/>
        </w:trPr>
        <w:tc>
          <w:tcPr>
            <w:tcW w:w="730" w:type="pct"/>
            <w:vMerge w:val="continue"/>
            <w:tcBorders>
              <w:left w:val="single" w:color="auto"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749" w:type="pct"/>
            <w:vMerge w:val="continue"/>
            <w:tcBorders>
              <w:top w:val="single" w:color="auto" w:sz="4" w:space="0"/>
              <w:left w:val="single" w:color="auto" w:sz="4" w:space="0"/>
              <w:bottom w:val="single" w:color="auto"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23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资产服务机构报告</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年度/半年度/季度/月度/其他）</w:t>
            </w:r>
          </w:p>
        </w:tc>
        <w:tc>
          <w:tcPr>
            <w:tcW w:w="1158" w:type="pct"/>
            <w:vMerge w:val="continue"/>
            <w:tcBorders>
              <w:left w:val="nil"/>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624" w:hRule="atLeast"/>
        </w:trPr>
        <w:tc>
          <w:tcPr>
            <w:tcW w:w="730" w:type="pct"/>
            <w:vMerge w:val="continue"/>
            <w:tcBorders>
              <w:left w:val="single" w:color="auto"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749" w:type="pct"/>
            <w:vMerge w:val="continue"/>
            <w:tcBorders>
              <w:top w:val="single" w:color="auto" w:sz="4" w:space="0"/>
              <w:left w:val="single" w:color="auto" w:sz="4" w:space="0"/>
              <w:bottom w:val="single" w:color="auto"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236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物业运营报告</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年度/半年度/季度/月度/其他）</w:t>
            </w:r>
          </w:p>
        </w:tc>
        <w:tc>
          <w:tcPr>
            <w:tcW w:w="1158" w:type="pct"/>
            <w:vMerge w:val="continue"/>
            <w:tcBorders>
              <w:left w:val="nil"/>
              <w:bottom w:val="single" w:color="auto" w:sz="4" w:space="0"/>
              <w:right w:val="single" w:color="auto"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285" w:hRule="atLeast"/>
        </w:trPr>
        <w:tc>
          <w:tcPr>
            <w:tcW w:w="730" w:type="pct"/>
            <w:vMerge w:val="continue"/>
            <w:tcBorders>
              <w:left w:val="single" w:color="auto" w:sz="4" w:space="0"/>
              <w:bottom w:val="single" w:color="000000" w:sz="4" w:space="0"/>
              <w:right w:val="single" w:color="auto" w:sz="4" w:space="0"/>
            </w:tcBorders>
            <w:vAlign w:val="center"/>
          </w:tcPr>
          <w:p>
            <w:pPr>
              <w:spacing w:line="600" w:lineRule="atLeast"/>
              <w:jc w:val="center"/>
              <w:rPr>
                <w:rFonts w:ascii="仿宋_GB2312" w:eastAsia="仿宋_GB2312" w:hAnsiTheme="minorEastAsia"/>
                <w:sz w:val="24"/>
                <w:szCs w:val="24"/>
              </w:rPr>
            </w:pP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其他公告</w:t>
            </w:r>
          </w:p>
        </w:tc>
        <w:tc>
          <w:tcPr>
            <w:tcW w:w="23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hAnsiTheme="minorEastAsia"/>
                <w:sz w:val="24"/>
                <w:szCs w:val="24"/>
              </w:rPr>
            </w:pPr>
            <w:r>
              <w:rPr>
                <w:rFonts w:hint="eastAsia" w:ascii="仿宋_GB2312" w:eastAsia="仿宋_GB2312" w:hAnsiTheme="minorEastAsia"/>
                <w:sz w:val="24"/>
                <w:szCs w:val="24"/>
              </w:rPr>
              <w:t>——</w:t>
            </w:r>
          </w:p>
        </w:tc>
        <w:tc>
          <w:tcPr>
            <w:tcW w:w="1158" w:type="pct"/>
            <w:tcBorders>
              <w:top w:val="single" w:color="auto" w:sz="4" w:space="0"/>
              <w:left w:val="nil"/>
              <w:bottom w:val="single" w:color="auto" w:sz="4" w:space="0"/>
              <w:right w:val="single" w:color="auto" w:sz="4" w:space="0"/>
            </w:tcBorders>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否</w:t>
            </w:r>
          </w:p>
        </w:tc>
      </w:tr>
    </w:tbl>
    <w:p>
      <w:pPr>
        <w:spacing w:line="300" w:lineRule="exact"/>
        <w:ind w:firstLine="420" w:firstLineChars="200"/>
        <w:jc w:val="center"/>
        <w:rPr>
          <w:rFonts w:asciiTheme="minorEastAsia" w:hAnsiTheme="minorEastAsia"/>
          <w:szCs w:val="21"/>
        </w:rPr>
      </w:pPr>
      <w:r>
        <w:rPr>
          <w:rFonts w:hint="eastAsia" w:asciiTheme="minorEastAsia" w:hAnsiTheme="minorEastAsia"/>
          <w:szCs w:val="21"/>
        </w:rPr>
        <w:t>表3</w:t>
      </w:r>
      <w:r>
        <w:rPr>
          <w:rFonts w:asciiTheme="minorEastAsia" w:hAnsiTheme="minorEastAsia"/>
          <w:szCs w:val="21"/>
        </w:rPr>
        <w:t>：“ABS</w:t>
      </w:r>
      <w:r>
        <w:rPr>
          <w:rFonts w:hint="eastAsia" w:asciiTheme="minorEastAsia" w:hAnsiTheme="minorEastAsia"/>
          <w:szCs w:val="21"/>
        </w:rPr>
        <w:t>信息披露</w:t>
      </w:r>
      <w:r>
        <w:rPr>
          <w:rFonts w:asciiTheme="minorEastAsia" w:hAnsiTheme="minorEastAsia"/>
          <w:szCs w:val="21"/>
        </w:rPr>
        <w:t>”</w:t>
      </w:r>
      <w:r>
        <w:rPr>
          <w:rFonts w:hint="eastAsia" w:asciiTheme="minorEastAsia" w:hAnsiTheme="minorEastAsia"/>
          <w:szCs w:val="21"/>
        </w:rPr>
        <w:t>流程</w:t>
      </w:r>
      <w:r>
        <w:rPr>
          <w:rFonts w:asciiTheme="minorEastAsia" w:hAnsiTheme="minorEastAsia"/>
          <w:szCs w:val="21"/>
        </w:rPr>
        <w:t>及直通车属性情况</w:t>
      </w:r>
    </w:p>
    <w:p>
      <w:pPr>
        <w:pStyle w:val="3"/>
      </w:pPr>
      <w:bookmarkStart w:id="17" w:name="_Toc80258479"/>
      <w:r>
        <w:rPr>
          <w:rFonts w:hint="eastAsia"/>
        </w:rPr>
        <w:t>（二）“ABS临时报告”流程详解</w:t>
      </w:r>
      <w:bookmarkEnd w:id="17"/>
    </w:p>
    <w:p>
      <w:pPr>
        <w:spacing w:line="560" w:lineRule="exact"/>
        <w:ind w:firstLine="600" w:firstLineChars="200"/>
        <w:rPr>
          <w:rFonts w:ascii="仿宋_GB2312" w:eastAsia="仿宋_GB2312"/>
          <w:sz w:val="30"/>
          <w:szCs w:val="30"/>
        </w:rPr>
      </w:pPr>
      <w:r>
        <w:rPr>
          <w:rFonts w:hint="eastAsia" w:ascii="仿宋_GB2312" w:eastAsia="仿宋_GB2312"/>
          <w:sz w:val="30"/>
          <w:szCs w:val="30"/>
        </w:rPr>
        <w:t>ABS临时报告的公告类别及直通车属性如下：</w:t>
      </w:r>
      <w:r>
        <w:rPr>
          <w:rFonts w:ascii="仿宋_GB2312" w:eastAsia="仿宋_GB2312"/>
          <w:sz w:val="30"/>
          <w:szCs w:val="30"/>
        </w:rPr>
        <w:tab/>
      </w:r>
    </w:p>
    <w:tbl>
      <w:tblPr>
        <w:tblStyle w:val="16"/>
        <w:tblW w:w="5000" w:type="pct"/>
        <w:jc w:val="center"/>
        <w:tblLayout w:type="autofit"/>
        <w:tblCellMar>
          <w:top w:w="0" w:type="dxa"/>
          <w:left w:w="108" w:type="dxa"/>
          <w:bottom w:w="0" w:type="dxa"/>
          <w:right w:w="108" w:type="dxa"/>
        </w:tblCellMar>
      </w:tblPr>
      <w:tblGrid>
        <w:gridCol w:w="726"/>
        <w:gridCol w:w="6236"/>
        <w:gridCol w:w="1560"/>
      </w:tblGrid>
      <w:tr>
        <w:tblPrEx>
          <w:tblCellMar>
            <w:top w:w="0" w:type="dxa"/>
            <w:left w:w="108" w:type="dxa"/>
            <w:bottom w:w="0" w:type="dxa"/>
            <w:right w:w="108" w:type="dxa"/>
          </w:tblCellMar>
        </w:tblPrEx>
        <w:trPr>
          <w:trHeight w:val="340" w:hRule="exact"/>
          <w:jc w:val="center"/>
        </w:trPr>
        <w:tc>
          <w:tcPr>
            <w:tcW w:w="42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65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eastAsia="仿宋_GB2312"/>
                <w:b/>
                <w:sz w:val="24"/>
                <w:szCs w:val="24"/>
              </w:rPr>
            </w:pPr>
            <w:r>
              <w:rPr>
                <w:rFonts w:hint="eastAsia" w:ascii="仿宋_GB2312" w:eastAsia="仿宋_GB2312"/>
                <w:b/>
                <w:sz w:val="24"/>
                <w:szCs w:val="24"/>
              </w:rPr>
              <w:t>公告类别</w:t>
            </w:r>
          </w:p>
        </w:tc>
        <w:tc>
          <w:tcPr>
            <w:tcW w:w="915" w:type="pct"/>
            <w:tcBorders>
              <w:top w:val="single" w:color="auto" w:sz="4" w:space="0"/>
              <w:left w:val="nil"/>
              <w:bottom w:val="single" w:color="auto" w:sz="4" w:space="0"/>
              <w:right w:val="single" w:color="auto" w:sz="4" w:space="0"/>
            </w:tcBorders>
            <w:shd w:val="clear" w:color="auto" w:fill="auto"/>
            <w:noWrap/>
            <w:vAlign w:val="center"/>
          </w:tcPr>
          <w:p>
            <w:pPr>
              <w:rPr>
                <w:rFonts w:ascii="仿宋_GB2312" w:eastAsia="仿宋_GB2312"/>
                <w:b/>
                <w:sz w:val="24"/>
                <w:szCs w:val="24"/>
              </w:rPr>
            </w:pPr>
            <w:r>
              <w:rPr>
                <w:rFonts w:hint="eastAsia" w:ascii="仿宋_GB2312" w:eastAsia="仿宋_GB2312"/>
                <w:b/>
                <w:sz w:val="24"/>
                <w:szCs w:val="24"/>
              </w:rPr>
              <w:t>是否直通车</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专项计划收益分配变动报告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2</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资产支持证券信用等级调整报告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3</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专项计划资产变动报告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4</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基础资产运行变动报告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5</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ABS业务参与机构/基础资产法律纠纷报告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6</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基础资产现金流变动报告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7</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ABS业务参与机构违反合同约定报告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624"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8</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ABS业务参与机构的资信情况或经营情况发生重大变化报告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9</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ABS业务参与机构调整报告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10</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ABS业务参与机构信用评级调整报告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11</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专项计划文件主要约定发生变化报告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12</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履行专项计划承诺事项报告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13</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基础资产权属及权利负担/限制调整报告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14</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专项计划现金流归集情况报告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15</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重大不利报道或负面市场传闻报告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16</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循环购买报告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17</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循环购买调整报告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907"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18</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ABS赎回/回售/预期收益率调整提示性公告（</w:t>
            </w:r>
            <w:r>
              <w:rPr>
                <w:rFonts w:hint="eastAsia" w:ascii="仿宋_GB2312" w:hAnsi="宋体" w:eastAsia="仿宋_GB2312" w:cs="宋体"/>
                <w:kern w:val="0"/>
                <w:sz w:val="24"/>
              </w:rPr>
              <w:t>注</w:t>
            </w:r>
            <w:r>
              <w:rPr>
                <w:rFonts w:ascii="仿宋_GB2312" w:hAnsi="宋体" w:eastAsia="仿宋_GB2312" w:cs="宋体"/>
                <w:kern w:val="0"/>
                <w:sz w:val="24"/>
              </w:rPr>
              <w:t>：ABS赎回/回售/预期收益率调整均</w:t>
            </w:r>
            <w:r>
              <w:rPr>
                <w:rFonts w:hint="eastAsia" w:ascii="仿宋_GB2312" w:hAnsi="宋体" w:eastAsia="仿宋_GB2312" w:cs="宋体"/>
                <w:kern w:val="0"/>
                <w:sz w:val="24"/>
              </w:rPr>
              <w:t>参照公司债券，通过公司债券赎回</w:t>
            </w:r>
            <w:r>
              <w:rPr>
                <w:rFonts w:ascii="仿宋_GB2312" w:hAnsi="宋体" w:eastAsia="仿宋_GB2312" w:cs="宋体"/>
                <w:kern w:val="0"/>
                <w:sz w:val="24"/>
              </w:rPr>
              <w:t>/</w:t>
            </w:r>
            <w:r>
              <w:rPr>
                <w:rFonts w:hint="eastAsia" w:ascii="仿宋_GB2312" w:hAnsi="宋体" w:eastAsia="仿宋_GB2312" w:cs="宋体"/>
                <w:kern w:val="0"/>
                <w:sz w:val="24"/>
              </w:rPr>
              <w:t>回售</w:t>
            </w:r>
            <w:r>
              <w:rPr>
                <w:rFonts w:ascii="仿宋_GB2312" w:hAnsi="宋体" w:eastAsia="仿宋_GB2312" w:cs="宋体"/>
                <w:kern w:val="0"/>
                <w:sz w:val="24"/>
              </w:rPr>
              <w:t>/</w:t>
            </w:r>
            <w:r>
              <w:rPr>
                <w:rFonts w:hint="eastAsia" w:ascii="仿宋_GB2312" w:hAnsi="宋体" w:eastAsia="仿宋_GB2312" w:cs="宋体"/>
                <w:kern w:val="0"/>
                <w:sz w:val="24"/>
              </w:rPr>
              <w:t>票面利率调整流程办理</w:t>
            </w:r>
            <w:r>
              <w:rPr>
                <w:rFonts w:hint="eastAsia" w:ascii="仿宋_GB2312" w:eastAsia="仿宋_GB2312"/>
                <w:sz w:val="24"/>
                <w:szCs w:val="24"/>
              </w:rPr>
              <w:t>）</w:t>
            </w:r>
          </w:p>
          <w:p>
            <w:pPr>
              <w:jc w:val="center"/>
              <w:rPr>
                <w:rFonts w:ascii="仿宋_GB2312" w:eastAsia="仿宋_GB2312"/>
                <w:sz w:val="24"/>
                <w:szCs w:val="24"/>
              </w:rPr>
            </w:pPr>
            <w:r>
              <w:rPr>
                <w:rFonts w:hint="eastAsia" w:ascii="仿宋_GB2312" w:eastAsia="仿宋_GB2312"/>
                <w:sz w:val="24"/>
                <w:szCs w:val="24"/>
              </w:rPr>
              <w:t>（注：ABS赎回/回售/预期收益率调整均参照公司债，通过公司债赎回/回售/票面利率调整流程办理）</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否</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19</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ABS清算报告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是</w:t>
            </w:r>
          </w:p>
        </w:tc>
      </w:tr>
      <w:tr>
        <w:tblPrEx>
          <w:tblCellMar>
            <w:top w:w="0" w:type="dxa"/>
            <w:left w:w="108" w:type="dxa"/>
            <w:bottom w:w="0" w:type="dxa"/>
            <w:right w:w="108" w:type="dxa"/>
          </w:tblCellMar>
        </w:tblPrEx>
        <w:trPr>
          <w:trHeight w:val="340" w:hRule="exact"/>
          <w:jc w:val="center"/>
        </w:trPr>
        <w:tc>
          <w:tcPr>
            <w:tcW w:w="426"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sz w:val="24"/>
                <w:szCs w:val="24"/>
              </w:rPr>
            </w:pPr>
            <w:r>
              <w:rPr>
                <w:rFonts w:hint="eastAsia" w:ascii="仿宋_GB2312" w:eastAsia="仿宋_GB2312"/>
                <w:sz w:val="24"/>
                <w:szCs w:val="24"/>
              </w:rPr>
              <w:t>20</w:t>
            </w:r>
          </w:p>
        </w:tc>
        <w:tc>
          <w:tcPr>
            <w:tcW w:w="365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其他临时报告</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hAnsi="宋体" w:eastAsia="仿宋_GB2312" w:cs="宋体"/>
                <w:kern w:val="0"/>
                <w:sz w:val="24"/>
              </w:rPr>
              <w:t>否</w:t>
            </w:r>
          </w:p>
        </w:tc>
      </w:tr>
    </w:tbl>
    <w:p>
      <w:pPr>
        <w:spacing w:line="300" w:lineRule="exact"/>
        <w:ind w:firstLine="420" w:firstLineChars="200"/>
        <w:jc w:val="center"/>
        <w:rPr>
          <w:rFonts w:asciiTheme="minorEastAsia" w:hAnsiTheme="minorEastAsia"/>
          <w:szCs w:val="21"/>
        </w:rPr>
      </w:pPr>
      <w:r>
        <w:rPr>
          <w:rFonts w:hint="eastAsia" w:asciiTheme="minorEastAsia" w:hAnsiTheme="minorEastAsia"/>
          <w:szCs w:val="21"/>
        </w:rPr>
        <w:t>表</w:t>
      </w:r>
      <w:r>
        <w:rPr>
          <w:rFonts w:asciiTheme="minorEastAsia" w:hAnsiTheme="minorEastAsia"/>
          <w:szCs w:val="21"/>
        </w:rPr>
        <w:t>4：“ABS临时报告”</w:t>
      </w:r>
      <w:r>
        <w:rPr>
          <w:rFonts w:hint="eastAsia" w:asciiTheme="minorEastAsia" w:hAnsiTheme="minorEastAsia"/>
          <w:szCs w:val="21"/>
        </w:rPr>
        <w:t>公告类别</w:t>
      </w:r>
      <w:r>
        <w:rPr>
          <w:rFonts w:asciiTheme="minorEastAsia" w:hAnsiTheme="minorEastAsia"/>
          <w:szCs w:val="21"/>
        </w:rPr>
        <w:t>及直通车属性情况</w:t>
      </w:r>
    </w:p>
    <w:p>
      <w:pPr>
        <w:pStyle w:val="3"/>
      </w:pPr>
      <w:bookmarkStart w:id="18" w:name="_Toc80258480"/>
      <w:r>
        <w:rPr>
          <w:rFonts w:hint="eastAsia"/>
        </w:rPr>
        <w:t>（三）ABS收益分配公告详解</w:t>
      </w:r>
      <w:bookmarkEnd w:id="18"/>
    </w:p>
    <w:p>
      <w:pPr>
        <w:spacing w:line="560" w:lineRule="exact"/>
        <w:ind w:firstLine="600" w:firstLineChars="200"/>
        <w:rPr>
          <w:rFonts w:ascii="仿宋_GB2312" w:eastAsia="仿宋_GB2312"/>
          <w:sz w:val="30"/>
          <w:szCs w:val="30"/>
        </w:rPr>
      </w:pPr>
      <w:r>
        <w:rPr>
          <w:rFonts w:hint="eastAsia" w:ascii="仿宋_GB2312" w:eastAsia="仿宋_GB2312"/>
          <w:sz w:val="30"/>
          <w:szCs w:val="30"/>
        </w:rPr>
        <w:t>1.涉及资产支持证券到期摘牌的，ABS收益分配公告应从“资产证券化摘牌”通道上传收益分配公告；</w:t>
      </w:r>
    </w:p>
    <w:p>
      <w:pPr>
        <w:spacing w:line="56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涉及</w:t>
      </w:r>
      <w:r>
        <w:rPr>
          <w:rFonts w:ascii="仿宋_GB2312" w:eastAsia="仿宋_GB2312"/>
          <w:sz w:val="30"/>
          <w:szCs w:val="30"/>
        </w:rPr>
        <w:t>资产支持证券</w:t>
      </w:r>
      <w:r>
        <w:rPr>
          <w:rFonts w:hint="eastAsia" w:ascii="仿宋_GB2312" w:eastAsia="仿宋_GB2312"/>
          <w:sz w:val="30"/>
          <w:szCs w:val="30"/>
        </w:rPr>
        <w:t>提前摘牌（</w:t>
      </w:r>
      <w:r>
        <w:rPr>
          <w:rFonts w:ascii="仿宋_GB2312" w:eastAsia="仿宋_GB2312"/>
          <w:sz w:val="30"/>
          <w:szCs w:val="30"/>
        </w:rPr>
        <w:t>本金提前兑付</w:t>
      </w:r>
      <w:r>
        <w:rPr>
          <w:rFonts w:hint="eastAsia" w:ascii="仿宋_GB2312" w:eastAsia="仿宋_GB2312"/>
          <w:sz w:val="30"/>
          <w:szCs w:val="30"/>
        </w:rPr>
        <w:t>）的，ABS收益分配公告应从“提前摘牌”</w:t>
      </w:r>
      <w:r>
        <w:rPr>
          <w:rFonts w:ascii="仿宋_GB2312" w:eastAsia="仿宋_GB2312"/>
          <w:sz w:val="30"/>
          <w:szCs w:val="30"/>
        </w:rPr>
        <w:t>通道上传;</w:t>
      </w:r>
    </w:p>
    <w:p>
      <w:pPr>
        <w:spacing w:line="56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涉及</w:t>
      </w:r>
      <w:r>
        <w:rPr>
          <w:rFonts w:ascii="仿宋_GB2312" w:eastAsia="仿宋_GB2312"/>
          <w:sz w:val="30"/>
          <w:szCs w:val="30"/>
        </w:rPr>
        <w:t>资产支持证券</w:t>
      </w:r>
      <w:r>
        <w:rPr>
          <w:rFonts w:hint="eastAsia" w:ascii="仿宋_GB2312" w:eastAsia="仿宋_GB2312"/>
          <w:sz w:val="30"/>
          <w:szCs w:val="30"/>
        </w:rPr>
        <w:t>分期偿还本金的，ABS收益分配公告应从“</w:t>
      </w:r>
      <w:r>
        <w:rPr>
          <w:rFonts w:ascii="仿宋_GB2312" w:eastAsia="仿宋_GB2312"/>
          <w:sz w:val="30"/>
          <w:szCs w:val="30"/>
        </w:rPr>
        <w:t>ABS</w:t>
      </w:r>
      <w:r>
        <w:rPr>
          <w:rFonts w:hint="eastAsia" w:ascii="仿宋_GB2312" w:eastAsia="仿宋_GB2312"/>
          <w:sz w:val="30"/>
          <w:szCs w:val="30"/>
        </w:rPr>
        <w:t>按面值分期偿还”通道上传；</w:t>
      </w:r>
    </w:p>
    <w:p>
      <w:pPr>
        <w:spacing w:line="560" w:lineRule="exact"/>
        <w:ind w:firstLine="600" w:firstLineChars="2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不涉及上述情况的，ABS收益分配公告应从“</w:t>
      </w:r>
      <w:r>
        <w:rPr>
          <w:rFonts w:ascii="仿宋_GB2312" w:eastAsia="仿宋_GB2312"/>
          <w:sz w:val="30"/>
          <w:szCs w:val="30"/>
        </w:rPr>
        <w:t>ABS</w:t>
      </w:r>
      <w:r>
        <w:rPr>
          <w:rFonts w:hint="eastAsia" w:ascii="仿宋_GB2312" w:eastAsia="仿宋_GB2312"/>
          <w:sz w:val="30"/>
          <w:szCs w:val="30"/>
        </w:rPr>
        <w:t>收益分配”通道上传。</w:t>
      </w:r>
    </w:p>
    <w:p>
      <w:pPr>
        <w:pStyle w:val="2"/>
        <w:rPr>
          <w:color w:val="auto"/>
        </w:rPr>
      </w:pPr>
      <w:r>
        <w:rPr>
          <w:color w:val="auto"/>
        </w:rPr>
        <w:t xml:space="preserve">    </w:t>
      </w:r>
      <w:bookmarkStart w:id="19" w:name="_Toc80258481"/>
      <w:r>
        <w:rPr>
          <w:rFonts w:hint="eastAsia"/>
          <w:color w:val="auto"/>
        </w:rPr>
        <w:t>三、直通车业务办理注意事项</w:t>
      </w:r>
      <w:bookmarkEnd w:id="19"/>
    </w:p>
    <w:p>
      <w:pPr>
        <w:pStyle w:val="3"/>
      </w:pPr>
      <w:bookmarkStart w:id="20" w:name="_Toc80258482"/>
      <w:r>
        <w:rPr>
          <w:rFonts w:hint="eastAsia"/>
        </w:rPr>
        <w:t>（一）原流程功能关闭</w:t>
      </w:r>
      <w:bookmarkEnd w:id="20"/>
    </w:p>
    <w:p>
      <w:pPr>
        <w:spacing w:line="560" w:lineRule="exact"/>
        <w:ind w:firstLine="600" w:firstLineChars="200"/>
        <w:rPr>
          <w:rFonts w:ascii="仿宋_GB2312" w:eastAsia="仿宋_GB2312"/>
          <w:sz w:val="30"/>
          <w:szCs w:val="30"/>
        </w:rPr>
      </w:pPr>
      <w:r>
        <w:rPr>
          <w:rFonts w:hint="eastAsia" w:ascii="仿宋_GB2312" w:eastAsia="仿宋_GB2312"/>
          <w:sz w:val="30"/>
          <w:szCs w:val="30"/>
        </w:rPr>
        <w:t>原“临时公告：其他公告”、“债券付息”、“非公开发行债券</w:t>
      </w:r>
      <w:r>
        <w:rPr>
          <w:rFonts w:ascii="仿宋_GB2312" w:eastAsia="仿宋_GB2312"/>
          <w:sz w:val="30"/>
          <w:szCs w:val="30"/>
        </w:rPr>
        <w:t>后续</w:t>
      </w:r>
      <w:r>
        <w:rPr>
          <w:rFonts w:hint="eastAsia" w:ascii="仿宋_GB2312" w:eastAsia="仿宋_GB2312"/>
          <w:sz w:val="30"/>
          <w:szCs w:val="30"/>
        </w:rPr>
        <w:t>信息披露”3个</w:t>
      </w:r>
      <w:r>
        <w:rPr>
          <w:rFonts w:ascii="仿宋_GB2312" w:eastAsia="仿宋_GB2312"/>
          <w:sz w:val="30"/>
          <w:szCs w:val="30"/>
        </w:rPr>
        <w:t>流程</w:t>
      </w:r>
      <w:r>
        <w:rPr>
          <w:rFonts w:hint="eastAsia" w:ascii="仿宋_GB2312" w:eastAsia="仿宋_GB2312"/>
          <w:sz w:val="30"/>
          <w:szCs w:val="30"/>
        </w:rPr>
        <w:t>已无法实现业务新增，相关事宜需通过“债券持续信息披露”流程办理</w:t>
      </w:r>
      <w:r>
        <w:rPr>
          <w:rFonts w:ascii="仿宋_GB2312" w:eastAsia="仿宋_GB2312"/>
          <w:sz w:val="30"/>
          <w:szCs w:val="30"/>
        </w:rPr>
        <w:t>。</w:t>
      </w:r>
      <w:r>
        <w:rPr>
          <w:rFonts w:hint="eastAsia" w:ascii="仿宋_GB2312" w:eastAsia="仿宋_GB2312"/>
          <w:sz w:val="30"/>
          <w:szCs w:val="30"/>
        </w:rPr>
        <w:t xml:space="preserve"> </w:t>
      </w:r>
    </w:p>
    <w:p>
      <w:pPr>
        <w:pStyle w:val="3"/>
      </w:pPr>
      <w:bookmarkStart w:id="21" w:name="_Toc80258483"/>
      <w:r>
        <w:rPr>
          <w:rFonts w:hint="eastAsia"/>
        </w:rPr>
        <w:t>（二）新流程合并上传安排</w:t>
      </w:r>
      <w:bookmarkEnd w:id="21"/>
    </w:p>
    <w:p>
      <w:pPr>
        <w:spacing w:line="560" w:lineRule="exact"/>
        <w:ind w:firstLine="600" w:firstLineChars="200"/>
        <w:rPr>
          <w:rFonts w:ascii="仿宋_GB2312" w:eastAsia="仿宋_GB2312"/>
          <w:sz w:val="30"/>
          <w:szCs w:val="30"/>
        </w:rPr>
      </w:pPr>
      <w:r>
        <w:rPr>
          <w:rFonts w:hint="eastAsia" w:ascii="仿宋_GB2312" w:eastAsia="仿宋_GB2312"/>
          <w:sz w:val="30"/>
          <w:szCs w:val="30"/>
        </w:rPr>
        <w:t>“债券持续信息披露”可实现公告流程合并上传。即允许同一个信披流程处理同一</w:t>
      </w:r>
      <w:r>
        <w:rPr>
          <w:rFonts w:ascii="仿宋_GB2312" w:eastAsia="仿宋_GB2312"/>
          <w:sz w:val="30"/>
          <w:szCs w:val="30"/>
        </w:rPr>
        <w:t>发行人的</w:t>
      </w:r>
      <w:r>
        <w:rPr>
          <w:rFonts w:hint="eastAsia" w:ascii="仿宋_GB2312" w:eastAsia="仿宋_GB2312"/>
          <w:sz w:val="30"/>
          <w:szCs w:val="30"/>
        </w:rPr>
        <w:t>多只债券，所涉债券根据其公募或私募属性分别对应不同的披露对象。ABS信息披露流程可实现一只专项计划各档资产支持证券合并上传。如图</w:t>
      </w:r>
      <w:r>
        <w:rPr>
          <w:rFonts w:ascii="仿宋_GB2312" w:eastAsia="仿宋_GB2312"/>
          <w:sz w:val="30"/>
          <w:szCs w:val="30"/>
        </w:rPr>
        <w:t>4</w:t>
      </w:r>
      <w:r>
        <w:rPr>
          <w:rFonts w:hint="eastAsia" w:ascii="仿宋_GB2312" w:eastAsia="仿宋_GB2312"/>
          <w:sz w:val="30"/>
          <w:szCs w:val="30"/>
        </w:rPr>
        <w:t>所示：</w:t>
      </w:r>
    </w:p>
    <w:p>
      <w:pPr>
        <w:spacing w:line="300" w:lineRule="exact"/>
        <w:ind w:firstLine="600" w:firstLineChars="200"/>
        <w:jc w:val="center"/>
        <w:rPr>
          <w:rFonts w:asciiTheme="minorEastAsia" w:hAnsiTheme="minorEastAsia"/>
          <w:szCs w:val="21"/>
        </w:rPr>
      </w:pPr>
      <w:r>
        <w:rPr>
          <w:rFonts w:ascii="仿宋_GB2312" w:eastAsia="仿宋_GB2312"/>
          <w:bCs/>
          <w:sz w:val="30"/>
          <w:szCs w:val="30"/>
        </w:rPr>
        <w:drawing>
          <wp:anchor distT="0" distB="0" distL="114300" distR="114300" simplePos="0" relativeHeight="251661312" behindDoc="1" locked="0" layoutInCell="1" allowOverlap="1">
            <wp:simplePos x="0" y="0"/>
            <wp:positionH relativeFrom="margin">
              <wp:align>center</wp:align>
            </wp:positionH>
            <wp:positionV relativeFrom="paragraph">
              <wp:posOffset>19050</wp:posOffset>
            </wp:positionV>
            <wp:extent cx="5191125" cy="2333625"/>
            <wp:effectExtent l="0" t="0" r="9525" b="9525"/>
            <wp:wrapTopAndBottom/>
            <wp:docPr id="2" name="图片 8" descr="微信图片_20210618144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微信图片_20210618144321.png"/>
                    <pic:cNvPicPr>
                      <a:picLocks noChangeAspect="1"/>
                    </pic:cNvPicPr>
                  </pic:nvPicPr>
                  <pic:blipFill>
                    <a:blip r:embed="rId8" cstate="print"/>
                    <a:stretch>
                      <a:fillRect/>
                    </a:stretch>
                  </pic:blipFill>
                  <pic:spPr>
                    <a:xfrm>
                      <a:off x="0" y="0"/>
                      <a:ext cx="5191125" cy="2333625"/>
                    </a:xfrm>
                    <a:prstGeom prst="rect">
                      <a:avLst/>
                    </a:prstGeom>
                  </pic:spPr>
                </pic:pic>
              </a:graphicData>
            </a:graphic>
          </wp:anchor>
        </w:drawing>
      </w:r>
      <w:r>
        <w:rPr>
          <w:rFonts w:hint="eastAsia" w:asciiTheme="minorEastAsia" w:hAnsiTheme="minorEastAsia"/>
          <w:szCs w:val="21"/>
        </w:rPr>
        <w:t>图4：“债券持续信息披露”流程代码信息</w:t>
      </w:r>
    </w:p>
    <w:p>
      <w:pPr>
        <w:pStyle w:val="3"/>
      </w:pPr>
      <w:bookmarkStart w:id="22" w:name="_Toc80258484"/>
      <w:r>
        <w:rPr>
          <w:rFonts w:hint="eastAsia"/>
        </w:rPr>
        <w:t>（三）公告类别登记</w:t>
      </w:r>
      <w:bookmarkEnd w:id="22"/>
    </w:p>
    <w:p>
      <w:pPr>
        <w:pStyle w:val="4"/>
      </w:pPr>
      <w:bookmarkStart w:id="23" w:name="_Toc80258485"/>
      <w:r>
        <w:t xml:space="preserve">1. </w:t>
      </w:r>
      <w:r>
        <w:rPr>
          <w:rFonts w:hint="eastAsia"/>
        </w:rPr>
        <w:t>公告类别的作用</w:t>
      </w:r>
      <w:bookmarkEnd w:id="23"/>
    </w:p>
    <w:p>
      <w:pPr>
        <w:spacing w:line="560" w:lineRule="exact"/>
        <w:ind w:firstLine="600" w:firstLineChars="200"/>
        <w:rPr>
          <w:rFonts w:ascii="仿宋_GB2312" w:eastAsia="仿宋_GB2312"/>
          <w:sz w:val="30"/>
          <w:szCs w:val="30"/>
        </w:rPr>
      </w:pPr>
      <w:r>
        <w:rPr>
          <w:rFonts w:hint="eastAsia" w:ascii="仿宋_GB2312" w:eastAsia="仿宋_GB2312"/>
          <w:sz w:val="30"/>
          <w:szCs w:val="30"/>
        </w:rPr>
        <w:t>公告类别，是按照《上海证券交易所公司债券上市规则》《上海证券交易所非公开发行公司债券挂牌转让规则》《上海证券交易所资产证券化业务指引》《上海证券交易所公司债券自律监管规则适用指引第</w:t>
      </w:r>
      <w:r>
        <w:rPr>
          <w:rFonts w:ascii="仿宋_GB2312" w:eastAsia="仿宋_GB2312"/>
          <w:sz w:val="30"/>
          <w:szCs w:val="30"/>
        </w:rPr>
        <w:t>1号——公司债券持续信息披露》（以下简称《持续信息披露指引》）</w:t>
      </w:r>
      <w:r>
        <w:rPr>
          <w:rFonts w:hint="eastAsia" w:ascii="仿宋_GB2312" w:eastAsia="仿宋_GB2312"/>
          <w:sz w:val="30"/>
          <w:szCs w:val="30"/>
        </w:rPr>
        <w:t>、《上海证券交易所资产支持证券定期报告内容与格式指引》（以下简称《资产支持证券</w:t>
      </w:r>
      <w:r>
        <w:rPr>
          <w:rFonts w:ascii="仿宋_GB2312" w:eastAsia="仿宋_GB2312"/>
          <w:sz w:val="30"/>
          <w:szCs w:val="30"/>
        </w:rPr>
        <w:t>定期报告指引》）</w:t>
      </w:r>
      <w:r>
        <w:rPr>
          <w:rFonts w:hint="eastAsia" w:ascii="仿宋_GB2312" w:eastAsia="仿宋_GB2312"/>
          <w:sz w:val="30"/>
          <w:szCs w:val="30"/>
        </w:rPr>
        <w:t>和《上海证券交易所资产支持证券临时报告信息披露指引》（以下简称《资产支持证券</w:t>
      </w:r>
      <w:r>
        <w:rPr>
          <w:rFonts w:ascii="仿宋_GB2312" w:eastAsia="仿宋_GB2312"/>
          <w:sz w:val="30"/>
          <w:szCs w:val="30"/>
        </w:rPr>
        <w:t>临时报告指引》）</w:t>
      </w:r>
      <w:r>
        <w:rPr>
          <w:rFonts w:hint="eastAsia" w:ascii="仿宋_GB2312" w:eastAsia="仿宋_GB2312"/>
          <w:sz w:val="30"/>
          <w:szCs w:val="30"/>
        </w:rPr>
        <w:t>的相关规定对信息披露事项进行的一种分类。公告类别是信息披露直通车业务的重要基础，债券业务管理系统根据公告类别自动判断直通车</w:t>
      </w:r>
      <w:r>
        <w:rPr>
          <w:rFonts w:ascii="仿宋_GB2312" w:eastAsia="仿宋_GB2312"/>
          <w:sz w:val="30"/>
          <w:szCs w:val="30"/>
        </w:rPr>
        <w:t>业务办理人</w:t>
      </w:r>
      <w:r>
        <w:rPr>
          <w:rFonts w:hint="eastAsia" w:ascii="仿宋_GB2312" w:eastAsia="仿宋_GB2312"/>
          <w:sz w:val="30"/>
          <w:szCs w:val="30"/>
        </w:rPr>
        <w:t>提交的公告是否采用直通车披露模式。</w:t>
      </w:r>
    </w:p>
    <w:p>
      <w:pPr>
        <w:pStyle w:val="4"/>
      </w:pPr>
      <w:bookmarkStart w:id="24" w:name="_Toc80258486"/>
      <w:r>
        <w:t>2. 登记差错的风险</w:t>
      </w:r>
      <w:bookmarkEnd w:id="24"/>
    </w:p>
    <w:p>
      <w:pPr>
        <w:spacing w:line="560" w:lineRule="exact"/>
        <w:ind w:firstLine="600" w:firstLineChars="200"/>
        <w:rPr>
          <w:rFonts w:ascii="仿宋_GB2312" w:eastAsia="仿宋_GB2312"/>
          <w:sz w:val="30"/>
          <w:szCs w:val="30"/>
        </w:rPr>
      </w:pPr>
      <w:r>
        <w:rPr>
          <w:rFonts w:hint="eastAsia" w:ascii="仿宋_GB2312" w:eastAsia="仿宋_GB2312"/>
          <w:sz w:val="30"/>
          <w:szCs w:val="30"/>
        </w:rPr>
        <w:t>直通车业务</w:t>
      </w:r>
      <w:r>
        <w:rPr>
          <w:rFonts w:ascii="仿宋_GB2312" w:eastAsia="仿宋_GB2312"/>
          <w:sz w:val="30"/>
          <w:szCs w:val="30"/>
        </w:rPr>
        <w:t>办理人</w:t>
      </w:r>
      <w:r>
        <w:rPr>
          <w:rFonts w:hint="eastAsia" w:ascii="仿宋_GB2312" w:eastAsia="仿宋_GB2312"/>
          <w:sz w:val="30"/>
          <w:szCs w:val="30"/>
        </w:rPr>
        <w:t>在提交信息披露文件时，必须准确选择公告类别。不同公告类别对应不同的系统</w:t>
      </w:r>
      <w:r>
        <w:rPr>
          <w:rFonts w:ascii="仿宋_GB2312" w:eastAsia="仿宋_GB2312"/>
          <w:sz w:val="30"/>
          <w:szCs w:val="30"/>
        </w:rPr>
        <w:t>流程（</w:t>
      </w:r>
      <w:r>
        <w:rPr>
          <w:rFonts w:hint="eastAsia" w:ascii="仿宋_GB2312" w:eastAsia="仿宋_GB2312"/>
          <w:sz w:val="30"/>
          <w:szCs w:val="30"/>
        </w:rPr>
        <w:t>含</w:t>
      </w:r>
      <w:r>
        <w:rPr>
          <w:rFonts w:ascii="仿宋_GB2312" w:eastAsia="仿宋_GB2312"/>
          <w:sz w:val="30"/>
          <w:szCs w:val="30"/>
        </w:rPr>
        <w:t>一二三级流程）</w:t>
      </w:r>
      <w:r>
        <w:rPr>
          <w:rFonts w:hint="eastAsia" w:ascii="仿宋_GB2312" w:eastAsia="仿宋_GB2312"/>
          <w:sz w:val="30"/>
          <w:szCs w:val="30"/>
        </w:rPr>
        <w:t>、披露模式、操作要求、审核流程等。</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如公告类别选择错误，易引发一系列业务差错，例如导致本应事前审核的公告直通披露。情形严重的，可能对证券市场交易、</w:t>
      </w:r>
      <w:r>
        <w:rPr>
          <w:rFonts w:ascii="仿宋_GB2312" w:eastAsia="仿宋_GB2312"/>
          <w:sz w:val="30"/>
          <w:szCs w:val="30"/>
        </w:rPr>
        <w:t>兑付兑息等</w:t>
      </w:r>
      <w:r>
        <w:rPr>
          <w:rFonts w:hint="eastAsia" w:ascii="仿宋_GB2312" w:eastAsia="仿宋_GB2312"/>
          <w:sz w:val="30"/>
          <w:szCs w:val="30"/>
        </w:rPr>
        <w:t>形成直接影响。</w:t>
      </w:r>
    </w:p>
    <w:p>
      <w:pPr>
        <w:pStyle w:val="4"/>
      </w:pPr>
      <w:bookmarkStart w:id="25" w:name="_Toc80258487"/>
      <w:r>
        <w:t xml:space="preserve">3. </w:t>
      </w:r>
      <w:r>
        <w:rPr>
          <w:rFonts w:hint="eastAsia"/>
        </w:rPr>
        <w:t>类别设置的原则</w:t>
      </w:r>
      <w:bookmarkEnd w:id="25"/>
    </w:p>
    <w:p>
      <w:pPr>
        <w:spacing w:line="560" w:lineRule="exact"/>
        <w:ind w:firstLine="600" w:firstLineChars="200"/>
        <w:rPr>
          <w:rFonts w:ascii="仿宋_GB2312" w:eastAsia="仿宋_GB2312"/>
          <w:sz w:val="30"/>
          <w:szCs w:val="30"/>
        </w:rPr>
      </w:pPr>
      <w:r>
        <w:rPr>
          <w:rFonts w:hint="eastAsia" w:ascii="仿宋_GB2312" w:eastAsia="仿宋_GB2312"/>
          <w:sz w:val="30"/>
          <w:szCs w:val="30"/>
        </w:rPr>
        <w:t>公告类别主要依据如下基本原则设置：</w:t>
      </w:r>
    </w:p>
    <w:p>
      <w:pPr>
        <w:spacing w:line="56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根据本所业务规则明确规定的信息披露事项，设置相应公告类别；</w:t>
      </w:r>
    </w:p>
    <w:p>
      <w:pPr>
        <w:spacing w:line="560" w:lineRule="exact"/>
        <w:ind w:firstLine="600" w:firstLineChars="200"/>
        <w:rPr>
          <w:rFonts w:ascii="仿宋_GB2312" w:eastAsia="仿宋_GB2312"/>
          <w:sz w:val="30"/>
          <w:szCs w:val="30"/>
        </w:rPr>
      </w:pPr>
      <w:r>
        <w:rPr>
          <w:rFonts w:ascii="仿宋_GB2312" w:eastAsia="仿宋_GB2312"/>
          <w:sz w:val="30"/>
          <w:szCs w:val="30"/>
        </w:rPr>
        <w:t>2.信息披露环节或事项涉及业务操作申请的，设置相应公告类别；</w:t>
      </w:r>
    </w:p>
    <w:p>
      <w:pPr>
        <w:spacing w:line="56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信息披露事项具有普遍性且发生频率较高的，原则上设置为单独公告类别；</w:t>
      </w:r>
    </w:p>
    <w:p>
      <w:pPr>
        <w:spacing w:line="560" w:lineRule="exact"/>
        <w:ind w:firstLine="600" w:firstLineChars="200"/>
        <w:rPr>
          <w:rFonts w:ascii="仿宋_GB2312" w:eastAsia="仿宋_GB2312"/>
          <w:sz w:val="30"/>
          <w:szCs w:val="30"/>
        </w:rPr>
      </w:pPr>
      <w:r>
        <w:rPr>
          <w:rFonts w:ascii="仿宋_GB2312" w:eastAsia="仿宋_GB2312"/>
          <w:sz w:val="30"/>
          <w:szCs w:val="30"/>
        </w:rPr>
        <w:t>4.对于市场关注度高、市场监管或分析重点的信息披露事项，设置相应</w:t>
      </w:r>
      <w:r>
        <w:rPr>
          <w:rFonts w:hint="eastAsia" w:ascii="仿宋_GB2312" w:eastAsia="仿宋_GB2312"/>
          <w:sz w:val="30"/>
          <w:szCs w:val="30"/>
        </w:rPr>
        <w:t>公告类别。</w:t>
      </w:r>
    </w:p>
    <w:p>
      <w:pPr>
        <w:pStyle w:val="4"/>
      </w:pPr>
      <w:bookmarkStart w:id="26" w:name="_Toc80258488"/>
      <w:r>
        <w:t>4.</w:t>
      </w:r>
      <w:r>
        <w:rPr>
          <w:rFonts w:hint="eastAsia"/>
        </w:rPr>
        <w:t xml:space="preserve"> 公告类别的数量</w:t>
      </w:r>
      <w:bookmarkEnd w:id="26"/>
    </w:p>
    <w:p>
      <w:pPr>
        <w:spacing w:line="560" w:lineRule="exact"/>
        <w:ind w:firstLine="600" w:firstLineChars="200"/>
        <w:rPr>
          <w:rFonts w:ascii="仿宋_GB2312" w:eastAsia="仿宋_GB2312"/>
          <w:sz w:val="30"/>
          <w:szCs w:val="30"/>
        </w:rPr>
      </w:pPr>
      <w:r>
        <w:rPr>
          <w:rFonts w:hint="eastAsia" w:ascii="仿宋_GB2312" w:eastAsia="仿宋_GB2312"/>
          <w:sz w:val="30"/>
          <w:szCs w:val="30"/>
        </w:rPr>
        <w:t>根据《持续信息披露指引》《资产支持证券</w:t>
      </w:r>
      <w:r>
        <w:rPr>
          <w:rFonts w:ascii="仿宋_GB2312" w:eastAsia="仿宋_GB2312"/>
          <w:sz w:val="30"/>
          <w:szCs w:val="30"/>
        </w:rPr>
        <w:t>定期报告指引》《</w:t>
      </w:r>
      <w:r>
        <w:rPr>
          <w:rFonts w:hint="eastAsia" w:ascii="仿宋_GB2312" w:eastAsia="仿宋_GB2312"/>
          <w:sz w:val="30"/>
          <w:szCs w:val="30"/>
        </w:rPr>
        <w:t>资产支持证券</w:t>
      </w:r>
      <w:r>
        <w:rPr>
          <w:rFonts w:ascii="仿宋_GB2312" w:eastAsia="仿宋_GB2312"/>
          <w:sz w:val="30"/>
          <w:szCs w:val="30"/>
        </w:rPr>
        <w:t>临时报告指引》</w:t>
      </w:r>
      <w:r>
        <w:rPr>
          <w:rFonts w:hint="eastAsia" w:ascii="仿宋_GB2312" w:eastAsia="仿宋_GB2312"/>
          <w:sz w:val="30"/>
          <w:szCs w:val="30"/>
        </w:rPr>
        <w:t>及其他信息披露规范等规定的应披露事项，目前本所债券市场共设置了</w:t>
      </w:r>
      <w:r>
        <w:rPr>
          <w:rFonts w:ascii="仿宋_GB2312" w:eastAsia="仿宋_GB2312"/>
          <w:sz w:val="30"/>
          <w:szCs w:val="30"/>
        </w:rPr>
        <w:t>8个</w:t>
      </w:r>
      <w:r>
        <w:rPr>
          <w:rFonts w:hint="eastAsia" w:ascii="仿宋_GB2312" w:eastAsia="仿宋_GB2312"/>
          <w:sz w:val="30"/>
          <w:szCs w:val="30"/>
        </w:rPr>
        <w:t>“</w:t>
      </w:r>
      <w:r>
        <w:rPr>
          <w:rFonts w:ascii="仿宋_GB2312" w:eastAsia="仿宋_GB2312"/>
          <w:sz w:val="30"/>
          <w:szCs w:val="30"/>
        </w:rPr>
        <w:t>一级类别</w:t>
      </w:r>
      <w:r>
        <w:rPr>
          <w:rFonts w:hint="eastAsia" w:ascii="仿宋_GB2312" w:eastAsia="仿宋_GB2312"/>
          <w:sz w:val="30"/>
          <w:szCs w:val="30"/>
        </w:rPr>
        <w:t>”</w:t>
      </w:r>
      <w:r>
        <w:rPr>
          <w:rFonts w:ascii="仿宋_GB2312" w:eastAsia="仿宋_GB2312"/>
          <w:sz w:val="30"/>
          <w:szCs w:val="30"/>
        </w:rPr>
        <w:t>和88个</w:t>
      </w:r>
      <w:r>
        <w:rPr>
          <w:rFonts w:hint="eastAsia" w:ascii="仿宋_GB2312" w:eastAsia="仿宋_GB2312"/>
          <w:sz w:val="30"/>
          <w:szCs w:val="30"/>
        </w:rPr>
        <w:t>“</w:t>
      </w:r>
      <w:r>
        <w:rPr>
          <w:rFonts w:ascii="仿宋_GB2312" w:eastAsia="仿宋_GB2312"/>
          <w:sz w:val="30"/>
          <w:szCs w:val="30"/>
        </w:rPr>
        <w:t>二级公告类别</w:t>
      </w:r>
      <w:r>
        <w:rPr>
          <w:rFonts w:hint="eastAsia" w:ascii="仿宋_GB2312" w:eastAsia="仿宋_GB2312"/>
          <w:sz w:val="30"/>
          <w:szCs w:val="30"/>
        </w:rPr>
        <w:t>”（具体公告类别详见《上海证券交易所债券自律监管规则适用指引第2号——公司债券和资产支持证券信息披露直通车业务》</w:t>
      </w:r>
      <w:r>
        <w:rPr>
          <w:rFonts w:ascii="仿宋_GB2312" w:eastAsia="仿宋_GB2312"/>
          <w:sz w:val="30"/>
          <w:szCs w:val="30"/>
        </w:rPr>
        <w:t>之附件《</w:t>
      </w:r>
      <w:r>
        <w:rPr>
          <w:rFonts w:hint="eastAsia" w:ascii="仿宋_GB2312" w:eastAsia="仿宋_GB2312"/>
          <w:sz w:val="30"/>
          <w:szCs w:val="30"/>
        </w:rPr>
        <w:t>上海证券交易所公司债券和资产支持证券信息披露公告类别索引》）。本所将根据信息披露业务的实际情况与需要，不断修订和完善公告类别。</w:t>
      </w:r>
    </w:p>
    <w:p>
      <w:pPr>
        <w:pStyle w:val="4"/>
      </w:pPr>
      <w:bookmarkStart w:id="27" w:name="_Toc80258489"/>
      <w:r>
        <w:t>5.</w:t>
      </w:r>
      <w:r>
        <w:rPr>
          <w:rFonts w:hint="eastAsia"/>
        </w:rPr>
        <w:t xml:space="preserve"> 公告类别的登记方法</w:t>
      </w:r>
      <w:bookmarkEnd w:id="27"/>
    </w:p>
    <w:p>
      <w:pPr>
        <w:spacing w:line="560" w:lineRule="exact"/>
        <w:ind w:firstLine="600" w:firstLineChars="200"/>
        <w:rPr>
          <w:rFonts w:ascii="仿宋_GB2312" w:eastAsia="仿宋_GB2312"/>
          <w:sz w:val="30"/>
          <w:szCs w:val="30"/>
        </w:rPr>
      </w:pPr>
      <w:r>
        <w:rPr>
          <w:rFonts w:hint="eastAsia" w:ascii="仿宋_GB2312" w:eastAsia="仿宋_GB2312"/>
          <w:sz w:val="30"/>
          <w:szCs w:val="30"/>
        </w:rPr>
        <w:t>信息披露公告类别设置为“一级公告类别”和“二级公告类别”两级。直通</w:t>
      </w:r>
      <w:r>
        <w:rPr>
          <w:rFonts w:ascii="仿宋_GB2312" w:eastAsia="仿宋_GB2312"/>
          <w:sz w:val="30"/>
          <w:szCs w:val="30"/>
        </w:rPr>
        <w:t>车</w:t>
      </w:r>
      <w:r>
        <w:rPr>
          <w:rFonts w:hint="eastAsia" w:ascii="仿宋_GB2312" w:eastAsia="仿宋_GB2312"/>
          <w:sz w:val="30"/>
          <w:szCs w:val="30"/>
        </w:rPr>
        <w:t>业务</w:t>
      </w:r>
      <w:r>
        <w:rPr>
          <w:rFonts w:ascii="仿宋_GB2312" w:eastAsia="仿宋_GB2312"/>
          <w:sz w:val="30"/>
          <w:szCs w:val="30"/>
        </w:rPr>
        <w:t>办理人</w:t>
      </w:r>
      <w:r>
        <w:rPr>
          <w:rFonts w:hint="eastAsia" w:ascii="仿宋_GB2312" w:eastAsia="仿宋_GB2312"/>
          <w:sz w:val="30"/>
          <w:szCs w:val="30"/>
        </w:rPr>
        <w:t>进行公告类别登记时，首先应根据信息披露事项的性质与内容对照确定其所属的一级公告类别，再从该一级公告类别中选择相应的二级公告类别，并直接按照二级公告类别进行公告登记。</w:t>
      </w:r>
    </w:p>
    <w:p>
      <w:pPr>
        <w:pStyle w:val="4"/>
      </w:pPr>
      <w:bookmarkStart w:id="28" w:name="_Toc80258490"/>
      <w:r>
        <w:t>6.</w:t>
      </w:r>
      <w:r>
        <w:rPr>
          <w:rFonts w:hint="eastAsia"/>
        </w:rPr>
        <w:t xml:space="preserve"> 公告类别的登记原则</w:t>
      </w:r>
      <w:bookmarkEnd w:id="28"/>
    </w:p>
    <w:p>
      <w:pPr>
        <w:spacing w:line="560" w:lineRule="exact"/>
        <w:ind w:firstLine="600" w:firstLineChars="200"/>
        <w:rPr>
          <w:rFonts w:ascii="仿宋_GB2312" w:eastAsia="仿宋_GB2312"/>
          <w:sz w:val="30"/>
          <w:szCs w:val="30"/>
        </w:rPr>
      </w:pPr>
      <w:r>
        <w:rPr>
          <w:rFonts w:hint="eastAsia" w:ascii="仿宋_GB2312" w:eastAsia="仿宋_GB2312"/>
          <w:sz w:val="30"/>
          <w:szCs w:val="30"/>
        </w:rPr>
        <w:t>公告类别的选择和登记应遵循以下主要原则：</w:t>
      </w:r>
    </w:p>
    <w:p>
      <w:pPr>
        <w:spacing w:line="56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对于已设置公告类别的信息披露事项，每一事项应当选择一个与之相应的公告类别；</w:t>
      </w:r>
    </w:p>
    <w:p>
      <w:pPr>
        <w:spacing w:line="56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即某一信息披露事项涉及不同公告类别的适用范围，但无法按照不同公告类别拆分，或者拆分后无实际意义的，应当按照披露事项所反映的重点与实质内容选择登记公告类别；</w:t>
      </w:r>
    </w:p>
    <w:p>
      <w:pPr>
        <w:spacing w:line="56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当信息披露事项无对应公告类别且有必要单独公告时，可以选择兜底类别，但直通</w:t>
      </w:r>
      <w:r>
        <w:rPr>
          <w:rFonts w:ascii="仿宋_GB2312" w:eastAsia="仿宋_GB2312"/>
          <w:sz w:val="30"/>
          <w:szCs w:val="30"/>
        </w:rPr>
        <w:t>车业务</w:t>
      </w:r>
      <w:r>
        <w:rPr>
          <w:rFonts w:hint="eastAsia" w:ascii="仿宋_GB2312" w:eastAsia="仿宋_GB2312"/>
          <w:sz w:val="30"/>
          <w:szCs w:val="30"/>
        </w:rPr>
        <w:t>办理人不得</w:t>
      </w:r>
      <w:r>
        <w:rPr>
          <w:rFonts w:ascii="仿宋_GB2312" w:eastAsia="仿宋_GB2312"/>
          <w:sz w:val="30"/>
          <w:szCs w:val="30"/>
        </w:rPr>
        <w:t>滥用</w:t>
      </w:r>
      <w:r>
        <w:rPr>
          <w:rFonts w:hint="eastAsia" w:ascii="仿宋_GB2312" w:eastAsia="仿宋_GB2312"/>
          <w:sz w:val="30"/>
          <w:szCs w:val="30"/>
        </w:rPr>
        <w:t>兜底</w:t>
      </w:r>
      <w:r>
        <w:rPr>
          <w:rFonts w:ascii="仿宋_GB2312" w:eastAsia="仿宋_GB2312"/>
          <w:sz w:val="30"/>
          <w:szCs w:val="30"/>
        </w:rPr>
        <w:t>类别</w:t>
      </w:r>
      <w:r>
        <w:rPr>
          <w:rFonts w:hint="eastAsia" w:ascii="仿宋_GB2312" w:eastAsia="仿宋_GB2312"/>
          <w:sz w:val="30"/>
          <w:szCs w:val="30"/>
        </w:rPr>
        <w:t>。</w:t>
      </w:r>
      <w:r>
        <w:rPr>
          <w:rFonts w:ascii="仿宋_GB2312" w:eastAsia="仿宋_GB2312"/>
          <w:sz w:val="30"/>
          <w:szCs w:val="30"/>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UnicodeMS,Bold">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218735"/>
      <w:docPartObj>
        <w:docPartGallery w:val="autotext"/>
      </w:docPartObj>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70"/>
    <w:rsid w:val="000011B1"/>
    <w:rsid w:val="00007368"/>
    <w:rsid w:val="00012E9A"/>
    <w:rsid w:val="00016080"/>
    <w:rsid w:val="00020741"/>
    <w:rsid w:val="000233A5"/>
    <w:rsid w:val="000255AC"/>
    <w:rsid w:val="000421A2"/>
    <w:rsid w:val="000445E7"/>
    <w:rsid w:val="00052B15"/>
    <w:rsid w:val="00053B5A"/>
    <w:rsid w:val="0006315C"/>
    <w:rsid w:val="0006431A"/>
    <w:rsid w:val="00067E17"/>
    <w:rsid w:val="00073D39"/>
    <w:rsid w:val="00074008"/>
    <w:rsid w:val="00075EA7"/>
    <w:rsid w:val="00080965"/>
    <w:rsid w:val="000838B3"/>
    <w:rsid w:val="00085834"/>
    <w:rsid w:val="00085D3E"/>
    <w:rsid w:val="00095D94"/>
    <w:rsid w:val="000961D2"/>
    <w:rsid w:val="000A5240"/>
    <w:rsid w:val="000B3EE9"/>
    <w:rsid w:val="000C2190"/>
    <w:rsid w:val="000C4A9A"/>
    <w:rsid w:val="000D3D09"/>
    <w:rsid w:val="000D5B1F"/>
    <w:rsid w:val="000D6115"/>
    <w:rsid w:val="000E503F"/>
    <w:rsid w:val="000F04C7"/>
    <w:rsid w:val="000F2D1F"/>
    <w:rsid w:val="00106331"/>
    <w:rsid w:val="00110DC8"/>
    <w:rsid w:val="00123404"/>
    <w:rsid w:val="001367F9"/>
    <w:rsid w:val="00140E1B"/>
    <w:rsid w:val="00142839"/>
    <w:rsid w:val="00147DCA"/>
    <w:rsid w:val="0015160C"/>
    <w:rsid w:val="00151A5C"/>
    <w:rsid w:val="001552DF"/>
    <w:rsid w:val="00156FC6"/>
    <w:rsid w:val="001617EE"/>
    <w:rsid w:val="00163DE9"/>
    <w:rsid w:val="00185A08"/>
    <w:rsid w:val="00191F4F"/>
    <w:rsid w:val="001927A6"/>
    <w:rsid w:val="001976BE"/>
    <w:rsid w:val="001A3936"/>
    <w:rsid w:val="001A3D50"/>
    <w:rsid w:val="001B4F54"/>
    <w:rsid w:val="001B6649"/>
    <w:rsid w:val="001C1574"/>
    <w:rsid w:val="001D328A"/>
    <w:rsid w:val="001E4BCC"/>
    <w:rsid w:val="001F2374"/>
    <w:rsid w:val="001F2847"/>
    <w:rsid w:val="001F43F9"/>
    <w:rsid w:val="001F69B2"/>
    <w:rsid w:val="001F7424"/>
    <w:rsid w:val="00200095"/>
    <w:rsid w:val="00200B7A"/>
    <w:rsid w:val="0020313E"/>
    <w:rsid w:val="00203734"/>
    <w:rsid w:val="0021277E"/>
    <w:rsid w:val="00213786"/>
    <w:rsid w:val="00217BC3"/>
    <w:rsid w:val="0022015F"/>
    <w:rsid w:val="00221987"/>
    <w:rsid w:val="00237BE1"/>
    <w:rsid w:val="002434C2"/>
    <w:rsid w:val="00246E0B"/>
    <w:rsid w:val="00256FEF"/>
    <w:rsid w:val="0027521F"/>
    <w:rsid w:val="002812B2"/>
    <w:rsid w:val="00282D14"/>
    <w:rsid w:val="00285CB8"/>
    <w:rsid w:val="00290E46"/>
    <w:rsid w:val="00291AD2"/>
    <w:rsid w:val="002C137D"/>
    <w:rsid w:val="002C5638"/>
    <w:rsid w:val="002D151C"/>
    <w:rsid w:val="002D2E25"/>
    <w:rsid w:val="002D329A"/>
    <w:rsid w:val="002E2C62"/>
    <w:rsid w:val="002E2FA4"/>
    <w:rsid w:val="002F2971"/>
    <w:rsid w:val="002F5E74"/>
    <w:rsid w:val="003019FB"/>
    <w:rsid w:val="003070BE"/>
    <w:rsid w:val="0031452C"/>
    <w:rsid w:val="003231AF"/>
    <w:rsid w:val="00325777"/>
    <w:rsid w:val="00337DE7"/>
    <w:rsid w:val="00344499"/>
    <w:rsid w:val="0035340D"/>
    <w:rsid w:val="0036127F"/>
    <w:rsid w:val="00362AB7"/>
    <w:rsid w:val="00370AD9"/>
    <w:rsid w:val="003712F1"/>
    <w:rsid w:val="00380AC5"/>
    <w:rsid w:val="00384471"/>
    <w:rsid w:val="0038692D"/>
    <w:rsid w:val="00386DB6"/>
    <w:rsid w:val="00392866"/>
    <w:rsid w:val="00395544"/>
    <w:rsid w:val="003A371D"/>
    <w:rsid w:val="003A6BD9"/>
    <w:rsid w:val="003C1553"/>
    <w:rsid w:val="003C1EB4"/>
    <w:rsid w:val="003C6E38"/>
    <w:rsid w:val="003E3E0E"/>
    <w:rsid w:val="003F008C"/>
    <w:rsid w:val="00403C33"/>
    <w:rsid w:val="00406265"/>
    <w:rsid w:val="00407332"/>
    <w:rsid w:val="004114EE"/>
    <w:rsid w:val="004122A9"/>
    <w:rsid w:val="00413F7F"/>
    <w:rsid w:val="00430A13"/>
    <w:rsid w:val="00430A7C"/>
    <w:rsid w:val="00452AB0"/>
    <w:rsid w:val="00457AEC"/>
    <w:rsid w:val="0046229B"/>
    <w:rsid w:val="004640AD"/>
    <w:rsid w:val="00467CEC"/>
    <w:rsid w:val="00477468"/>
    <w:rsid w:val="00480501"/>
    <w:rsid w:val="00484475"/>
    <w:rsid w:val="00487115"/>
    <w:rsid w:val="004924C7"/>
    <w:rsid w:val="00493450"/>
    <w:rsid w:val="00496965"/>
    <w:rsid w:val="004B5B79"/>
    <w:rsid w:val="004B5B99"/>
    <w:rsid w:val="004B65CC"/>
    <w:rsid w:val="004C322D"/>
    <w:rsid w:val="004C4276"/>
    <w:rsid w:val="004D4A53"/>
    <w:rsid w:val="004E2CAE"/>
    <w:rsid w:val="004E4152"/>
    <w:rsid w:val="004F0385"/>
    <w:rsid w:val="004F54A1"/>
    <w:rsid w:val="00512D14"/>
    <w:rsid w:val="0051632C"/>
    <w:rsid w:val="00531EF0"/>
    <w:rsid w:val="00534FAE"/>
    <w:rsid w:val="005437B4"/>
    <w:rsid w:val="00546232"/>
    <w:rsid w:val="0054752B"/>
    <w:rsid w:val="0055056B"/>
    <w:rsid w:val="00554F1C"/>
    <w:rsid w:val="00556EDD"/>
    <w:rsid w:val="00557A49"/>
    <w:rsid w:val="00561890"/>
    <w:rsid w:val="00563772"/>
    <w:rsid w:val="00573308"/>
    <w:rsid w:val="005739A1"/>
    <w:rsid w:val="005771E4"/>
    <w:rsid w:val="00577B19"/>
    <w:rsid w:val="005866A2"/>
    <w:rsid w:val="00596050"/>
    <w:rsid w:val="005A1830"/>
    <w:rsid w:val="005A3519"/>
    <w:rsid w:val="005A62F0"/>
    <w:rsid w:val="005A6A0D"/>
    <w:rsid w:val="005B0BCA"/>
    <w:rsid w:val="005B1F6B"/>
    <w:rsid w:val="005C2C69"/>
    <w:rsid w:val="005C3E75"/>
    <w:rsid w:val="005D77B3"/>
    <w:rsid w:val="005E3494"/>
    <w:rsid w:val="005E43F3"/>
    <w:rsid w:val="005E6E3E"/>
    <w:rsid w:val="005F6FD4"/>
    <w:rsid w:val="005F7FD8"/>
    <w:rsid w:val="00600511"/>
    <w:rsid w:val="00603D73"/>
    <w:rsid w:val="00613A8C"/>
    <w:rsid w:val="00623977"/>
    <w:rsid w:val="006256B5"/>
    <w:rsid w:val="0062697E"/>
    <w:rsid w:val="00634CFE"/>
    <w:rsid w:val="0064409C"/>
    <w:rsid w:val="00644B58"/>
    <w:rsid w:val="00644BB7"/>
    <w:rsid w:val="006532D1"/>
    <w:rsid w:val="00667DA4"/>
    <w:rsid w:val="0068767D"/>
    <w:rsid w:val="00690850"/>
    <w:rsid w:val="006908D5"/>
    <w:rsid w:val="00693823"/>
    <w:rsid w:val="00693E01"/>
    <w:rsid w:val="0069689B"/>
    <w:rsid w:val="006A645B"/>
    <w:rsid w:val="006B36E7"/>
    <w:rsid w:val="006C1066"/>
    <w:rsid w:val="006C15D7"/>
    <w:rsid w:val="006D12AF"/>
    <w:rsid w:val="006D40D6"/>
    <w:rsid w:val="006E0A1D"/>
    <w:rsid w:val="006E5A16"/>
    <w:rsid w:val="006E641C"/>
    <w:rsid w:val="006F11A8"/>
    <w:rsid w:val="00702DB1"/>
    <w:rsid w:val="0070354A"/>
    <w:rsid w:val="00704C7B"/>
    <w:rsid w:val="007053A0"/>
    <w:rsid w:val="0071205A"/>
    <w:rsid w:val="00733055"/>
    <w:rsid w:val="007413D1"/>
    <w:rsid w:val="0075340D"/>
    <w:rsid w:val="0075714B"/>
    <w:rsid w:val="007576EE"/>
    <w:rsid w:val="00763C1D"/>
    <w:rsid w:val="00784380"/>
    <w:rsid w:val="007868D7"/>
    <w:rsid w:val="007877D1"/>
    <w:rsid w:val="00787899"/>
    <w:rsid w:val="007A0A47"/>
    <w:rsid w:val="007A1832"/>
    <w:rsid w:val="007A5C6F"/>
    <w:rsid w:val="007B622D"/>
    <w:rsid w:val="007B7A61"/>
    <w:rsid w:val="007D486D"/>
    <w:rsid w:val="007E2FE0"/>
    <w:rsid w:val="007F3F71"/>
    <w:rsid w:val="008126AB"/>
    <w:rsid w:val="008221AB"/>
    <w:rsid w:val="00822AF5"/>
    <w:rsid w:val="00823C91"/>
    <w:rsid w:val="00825121"/>
    <w:rsid w:val="00827FF1"/>
    <w:rsid w:val="00831F70"/>
    <w:rsid w:val="00832E5D"/>
    <w:rsid w:val="00833358"/>
    <w:rsid w:val="00834082"/>
    <w:rsid w:val="0083544F"/>
    <w:rsid w:val="00841ADA"/>
    <w:rsid w:val="008459FB"/>
    <w:rsid w:val="00845B4C"/>
    <w:rsid w:val="008473A2"/>
    <w:rsid w:val="0085262F"/>
    <w:rsid w:val="00855D65"/>
    <w:rsid w:val="00857B88"/>
    <w:rsid w:val="008650CC"/>
    <w:rsid w:val="00865E21"/>
    <w:rsid w:val="00874CC3"/>
    <w:rsid w:val="0088028D"/>
    <w:rsid w:val="0088620D"/>
    <w:rsid w:val="0088706C"/>
    <w:rsid w:val="008A2E5B"/>
    <w:rsid w:val="008B35B2"/>
    <w:rsid w:val="008B3D92"/>
    <w:rsid w:val="008B4DA1"/>
    <w:rsid w:val="008B4DBB"/>
    <w:rsid w:val="008C390F"/>
    <w:rsid w:val="008D4441"/>
    <w:rsid w:val="008D74F4"/>
    <w:rsid w:val="008E060E"/>
    <w:rsid w:val="008E0D49"/>
    <w:rsid w:val="008E4543"/>
    <w:rsid w:val="008E7080"/>
    <w:rsid w:val="008F530C"/>
    <w:rsid w:val="008F5F0F"/>
    <w:rsid w:val="00901A23"/>
    <w:rsid w:val="00907AEF"/>
    <w:rsid w:val="009201FF"/>
    <w:rsid w:val="00926842"/>
    <w:rsid w:val="00933309"/>
    <w:rsid w:val="00935452"/>
    <w:rsid w:val="00943CC9"/>
    <w:rsid w:val="0095420B"/>
    <w:rsid w:val="009560D1"/>
    <w:rsid w:val="00962C58"/>
    <w:rsid w:val="00972A06"/>
    <w:rsid w:val="00987956"/>
    <w:rsid w:val="00991955"/>
    <w:rsid w:val="00995960"/>
    <w:rsid w:val="009B693F"/>
    <w:rsid w:val="009D2372"/>
    <w:rsid w:val="009D2CE3"/>
    <w:rsid w:val="009D3CDE"/>
    <w:rsid w:val="009D4AF5"/>
    <w:rsid w:val="009D5BBE"/>
    <w:rsid w:val="009D5D6E"/>
    <w:rsid w:val="009D6D08"/>
    <w:rsid w:val="009F40E9"/>
    <w:rsid w:val="00A02B75"/>
    <w:rsid w:val="00A03A48"/>
    <w:rsid w:val="00A20358"/>
    <w:rsid w:val="00A2369C"/>
    <w:rsid w:val="00A24D4E"/>
    <w:rsid w:val="00A3381F"/>
    <w:rsid w:val="00A348E3"/>
    <w:rsid w:val="00A3539D"/>
    <w:rsid w:val="00A443C5"/>
    <w:rsid w:val="00A44741"/>
    <w:rsid w:val="00A512EC"/>
    <w:rsid w:val="00A525B2"/>
    <w:rsid w:val="00A6529C"/>
    <w:rsid w:val="00A65DEB"/>
    <w:rsid w:val="00A83C2F"/>
    <w:rsid w:val="00A9232B"/>
    <w:rsid w:val="00A9240C"/>
    <w:rsid w:val="00AC0205"/>
    <w:rsid w:val="00AC5009"/>
    <w:rsid w:val="00AD4ACE"/>
    <w:rsid w:val="00AD4D75"/>
    <w:rsid w:val="00AE01D6"/>
    <w:rsid w:val="00AE1B54"/>
    <w:rsid w:val="00AE4626"/>
    <w:rsid w:val="00B004D7"/>
    <w:rsid w:val="00B05005"/>
    <w:rsid w:val="00B1268D"/>
    <w:rsid w:val="00B1520B"/>
    <w:rsid w:val="00B15D6F"/>
    <w:rsid w:val="00B209E7"/>
    <w:rsid w:val="00B22249"/>
    <w:rsid w:val="00B23406"/>
    <w:rsid w:val="00B42977"/>
    <w:rsid w:val="00B44923"/>
    <w:rsid w:val="00B44B7E"/>
    <w:rsid w:val="00B45A3C"/>
    <w:rsid w:val="00B46EF7"/>
    <w:rsid w:val="00B47909"/>
    <w:rsid w:val="00B51E18"/>
    <w:rsid w:val="00B53984"/>
    <w:rsid w:val="00B578DA"/>
    <w:rsid w:val="00B6702A"/>
    <w:rsid w:val="00B674E2"/>
    <w:rsid w:val="00B83159"/>
    <w:rsid w:val="00B859FC"/>
    <w:rsid w:val="00BA1A19"/>
    <w:rsid w:val="00BA25A0"/>
    <w:rsid w:val="00BA2918"/>
    <w:rsid w:val="00BA3948"/>
    <w:rsid w:val="00BA6A7B"/>
    <w:rsid w:val="00BB529A"/>
    <w:rsid w:val="00BB79D9"/>
    <w:rsid w:val="00BB7BD7"/>
    <w:rsid w:val="00BC3EC1"/>
    <w:rsid w:val="00BC6E50"/>
    <w:rsid w:val="00BD02F6"/>
    <w:rsid w:val="00BD3CED"/>
    <w:rsid w:val="00BF1838"/>
    <w:rsid w:val="00C01158"/>
    <w:rsid w:val="00C11878"/>
    <w:rsid w:val="00C1239C"/>
    <w:rsid w:val="00C143F9"/>
    <w:rsid w:val="00C15320"/>
    <w:rsid w:val="00C15C6A"/>
    <w:rsid w:val="00C17849"/>
    <w:rsid w:val="00C20B23"/>
    <w:rsid w:val="00C22FE9"/>
    <w:rsid w:val="00C27CDD"/>
    <w:rsid w:val="00C30D93"/>
    <w:rsid w:val="00C329B5"/>
    <w:rsid w:val="00C35082"/>
    <w:rsid w:val="00C36649"/>
    <w:rsid w:val="00C379A2"/>
    <w:rsid w:val="00C40B1F"/>
    <w:rsid w:val="00C44A17"/>
    <w:rsid w:val="00C475D8"/>
    <w:rsid w:val="00C64A2A"/>
    <w:rsid w:val="00C75528"/>
    <w:rsid w:val="00C83626"/>
    <w:rsid w:val="00C87692"/>
    <w:rsid w:val="00C96E76"/>
    <w:rsid w:val="00CA0DCE"/>
    <w:rsid w:val="00CA0FD9"/>
    <w:rsid w:val="00CA643E"/>
    <w:rsid w:val="00CB5CFC"/>
    <w:rsid w:val="00CC4437"/>
    <w:rsid w:val="00CC6DF0"/>
    <w:rsid w:val="00CC772F"/>
    <w:rsid w:val="00CD3155"/>
    <w:rsid w:val="00CD3437"/>
    <w:rsid w:val="00CD4108"/>
    <w:rsid w:val="00CE2F5C"/>
    <w:rsid w:val="00CE3061"/>
    <w:rsid w:val="00D00823"/>
    <w:rsid w:val="00D027F2"/>
    <w:rsid w:val="00D02F66"/>
    <w:rsid w:val="00D02FF7"/>
    <w:rsid w:val="00D10BF8"/>
    <w:rsid w:val="00D13ED9"/>
    <w:rsid w:val="00D1722F"/>
    <w:rsid w:val="00D2315E"/>
    <w:rsid w:val="00D40738"/>
    <w:rsid w:val="00D464EC"/>
    <w:rsid w:val="00D54CEA"/>
    <w:rsid w:val="00D568F9"/>
    <w:rsid w:val="00D7687B"/>
    <w:rsid w:val="00D848DC"/>
    <w:rsid w:val="00D84B8D"/>
    <w:rsid w:val="00D85B04"/>
    <w:rsid w:val="00D87780"/>
    <w:rsid w:val="00D924EA"/>
    <w:rsid w:val="00DA37EE"/>
    <w:rsid w:val="00DA3840"/>
    <w:rsid w:val="00DA3A4C"/>
    <w:rsid w:val="00DA3DA7"/>
    <w:rsid w:val="00DB208E"/>
    <w:rsid w:val="00DC4F99"/>
    <w:rsid w:val="00DC650A"/>
    <w:rsid w:val="00DD3B8C"/>
    <w:rsid w:val="00DD6883"/>
    <w:rsid w:val="00DE22E3"/>
    <w:rsid w:val="00DF3F88"/>
    <w:rsid w:val="00E0650F"/>
    <w:rsid w:val="00E12787"/>
    <w:rsid w:val="00E14729"/>
    <w:rsid w:val="00E15A97"/>
    <w:rsid w:val="00E212EE"/>
    <w:rsid w:val="00E25A16"/>
    <w:rsid w:val="00E36FAE"/>
    <w:rsid w:val="00E41A8A"/>
    <w:rsid w:val="00E477DC"/>
    <w:rsid w:val="00E47A95"/>
    <w:rsid w:val="00E559AA"/>
    <w:rsid w:val="00E6437B"/>
    <w:rsid w:val="00E75210"/>
    <w:rsid w:val="00E766A9"/>
    <w:rsid w:val="00E83451"/>
    <w:rsid w:val="00E8722D"/>
    <w:rsid w:val="00EA0710"/>
    <w:rsid w:val="00EA232B"/>
    <w:rsid w:val="00EA51C7"/>
    <w:rsid w:val="00EB3442"/>
    <w:rsid w:val="00ED1D34"/>
    <w:rsid w:val="00ED24AB"/>
    <w:rsid w:val="00ED4AE1"/>
    <w:rsid w:val="00EE168D"/>
    <w:rsid w:val="00EE6F22"/>
    <w:rsid w:val="00EE7C40"/>
    <w:rsid w:val="00EF0B19"/>
    <w:rsid w:val="00EF49DB"/>
    <w:rsid w:val="00F01C6E"/>
    <w:rsid w:val="00F03811"/>
    <w:rsid w:val="00F067FF"/>
    <w:rsid w:val="00F302FB"/>
    <w:rsid w:val="00F41961"/>
    <w:rsid w:val="00F4477C"/>
    <w:rsid w:val="00F44CFA"/>
    <w:rsid w:val="00F53D0A"/>
    <w:rsid w:val="00F565AF"/>
    <w:rsid w:val="00F6601E"/>
    <w:rsid w:val="00F66DBD"/>
    <w:rsid w:val="00F67F94"/>
    <w:rsid w:val="00F7008E"/>
    <w:rsid w:val="00F80805"/>
    <w:rsid w:val="00F81E1D"/>
    <w:rsid w:val="00F908A5"/>
    <w:rsid w:val="00F93235"/>
    <w:rsid w:val="00F93A5D"/>
    <w:rsid w:val="00FA458E"/>
    <w:rsid w:val="00FA5090"/>
    <w:rsid w:val="00FB17C5"/>
    <w:rsid w:val="00FB7072"/>
    <w:rsid w:val="00FC398C"/>
    <w:rsid w:val="00FD1CE2"/>
    <w:rsid w:val="00FD266B"/>
    <w:rsid w:val="00FD7E73"/>
    <w:rsid w:val="00FE0F38"/>
    <w:rsid w:val="00FE142B"/>
    <w:rsid w:val="00FE5699"/>
    <w:rsid w:val="00FF17AD"/>
    <w:rsid w:val="00FF6BE1"/>
    <w:rsid w:val="00FF6CB6"/>
    <w:rsid w:val="00FF6E89"/>
    <w:rsid w:val="00FF7E79"/>
    <w:rsid w:val="0CA77FAF"/>
    <w:rsid w:val="29A10E63"/>
    <w:rsid w:val="332140D6"/>
    <w:rsid w:val="47E3358B"/>
    <w:rsid w:val="6F1B1909"/>
    <w:rsid w:val="78207A4F"/>
    <w:rsid w:val="7C5C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1"/>
    <w:pPr>
      <w:keepNext/>
      <w:keepLines/>
      <w:spacing w:line="560" w:lineRule="exact"/>
      <w:jc w:val="left"/>
      <w:outlineLvl w:val="0"/>
    </w:pPr>
    <w:rPr>
      <w:rFonts w:ascii="黑体" w:hAnsi="黑体" w:eastAsia="黑体" w:cs="ArialUnicodeMS,Bold"/>
      <w:b/>
      <w:bCs/>
      <w:color w:val="000000"/>
      <w:kern w:val="0"/>
      <w:sz w:val="30"/>
      <w:szCs w:val="30"/>
    </w:rPr>
  </w:style>
  <w:style w:type="paragraph" w:styleId="3">
    <w:name w:val="heading 2"/>
    <w:basedOn w:val="1"/>
    <w:next w:val="1"/>
    <w:link w:val="20"/>
    <w:unhideWhenUsed/>
    <w:qFormat/>
    <w:uiPriority w:val="9"/>
    <w:pPr>
      <w:spacing w:line="560" w:lineRule="exact"/>
      <w:ind w:firstLine="602" w:firstLineChars="200"/>
      <w:outlineLvl w:val="1"/>
    </w:pPr>
    <w:rPr>
      <w:rFonts w:ascii="仿宋_GB2312" w:hAnsi="宋体" w:eastAsia="仿宋_GB2312" w:cs="宋体"/>
      <w:b/>
      <w:sz w:val="30"/>
      <w:szCs w:val="30"/>
    </w:rPr>
  </w:style>
  <w:style w:type="paragraph" w:styleId="4">
    <w:name w:val="heading 3"/>
    <w:basedOn w:val="3"/>
    <w:next w:val="1"/>
    <w:link w:val="30"/>
    <w:unhideWhenUsed/>
    <w:qFormat/>
    <w:uiPriority w:val="9"/>
    <w:pPr>
      <w:outlineLvl w:val="2"/>
    </w:p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3"/>
    <w:semiHidden/>
    <w:unhideWhenUsed/>
    <w:uiPriority w:val="99"/>
    <w:rPr>
      <w:rFonts w:ascii="宋体" w:eastAsia="宋体"/>
      <w:sz w:val="18"/>
      <w:szCs w:val="18"/>
    </w:rPr>
  </w:style>
  <w:style w:type="paragraph" w:styleId="6">
    <w:name w:val="annotation text"/>
    <w:basedOn w:val="1"/>
    <w:link w:val="32"/>
    <w:semiHidden/>
    <w:unhideWhenUsed/>
    <w:qFormat/>
    <w:uiPriority w:val="99"/>
    <w:pPr>
      <w:jc w:val="left"/>
    </w:pPr>
  </w:style>
  <w:style w:type="paragraph" w:styleId="7">
    <w:name w:val="toc 3"/>
    <w:basedOn w:val="1"/>
    <w:next w:val="1"/>
    <w:unhideWhenUsed/>
    <w:qFormat/>
    <w:uiPriority w:val="39"/>
    <w:pPr>
      <w:ind w:left="400" w:leftChars="400"/>
    </w:pPr>
    <w:rPr>
      <w:rFonts w:eastAsia="仿宋_GB2312"/>
      <w:sz w:val="30"/>
    </w:rPr>
  </w:style>
  <w:style w:type="paragraph" w:styleId="8">
    <w:name w:val="Date"/>
    <w:basedOn w:val="1"/>
    <w:next w:val="1"/>
    <w:link w:val="27"/>
    <w:semiHidden/>
    <w:unhideWhenUsed/>
    <w:qFormat/>
    <w:uiPriority w:val="99"/>
    <w:pPr>
      <w:ind w:left="100" w:leftChars="2500"/>
    </w:pPr>
  </w:style>
  <w:style w:type="paragraph" w:styleId="9">
    <w:name w:val="Balloon Text"/>
    <w:basedOn w:val="1"/>
    <w:link w:val="24"/>
    <w:semiHidden/>
    <w:unhideWhenUsed/>
    <w:uiPriority w:val="99"/>
    <w:rPr>
      <w:sz w:val="18"/>
      <w:szCs w:val="18"/>
    </w:rPr>
  </w:style>
  <w:style w:type="paragraph" w:styleId="10">
    <w:name w:val="footer"/>
    <w:basedOn w:val="1"/>
    <w:link w:val="22"/>
    <w:unhideWhenUsed/>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tabs>
        <w:tab w:val="right" w:leader="dot" w:pos="8296"/>
      </w:tabs>
      <w:spacing w:line="500" w:lineRule="exact"/>
    </w:pPr>
    <w:rPr>
      <w:rFonts w:ascii="仿宋_GB2312" w:hAnsi="黑体" w:eastAsia="仿宋_GB2312" w:cs="ArialUnicodeMS,Bold"/>
      <w:b/>
      <w:kern w:val="0"/>
      <w:sz w:val="30"/>
      <w:szCs w:val="30"/>
    </w:rPr>
  </w:style>
  <w:style w:type="paragraph" w:styleId="13">
    <w:name w:val="toc 2"/>
    <w:basedOn w:val="1"/>
    <w:next w:val="1"/>
    <w:unhideWhenUsed/>
    <w:qFormat/>
    <w:uiPriority w:val="39"/>
    <w:pPr>
      <w:tabs>
        <w:tab w:val="right" w:leader="dot" w:pos="8296"/>
      </w:tabs>
      <w:ind w:left="200" w:leftChars="200"/>
    </w:pPr>
    <w:rPr>
      <w:rFonts w:eastAsia="仿宋_GB2312"/>
      <w:sz w:val="30"/>
    </w:rPr>
  </w:style>
  <w:style w:type="paragraph" w:styleId="14">
    <w:name w:val="Title"/>
    <w:basedOn w:val="1"/>
    <w:next w:val="1"/>
    <w:link w:val="29"/>
    <w:qFormat/>
    <w:uiPriority w:val="0"/>
    <w:pPr>
      <w:spacing w:before="120" w:after="120" w:line="560" w:lineRule="exact"/>
      <w:jc w:val="center"/>
      <w:outlineLvl w:val="0"/>
    </w:pPr>
    <w:rPr>
      <w:rFonts w:ascii="Cambria" w:hAnsi="Cambria" w:eastAsia="仿宋_GB2312" w:cs="Times New Roman"/>
      <w:b/>
      <w:bCs/>
      <w:sz w:val="36"/>
      <w:szCs w:val="32"/>
    </w:rPr>
  </w:style>
  <w:style w:type="paragraph" w:styleId="15">
    <w:name w:val="annotation subject"/>
    <w:basedOn w:val="6"/>
    <w:next w:val="6"/>
    <w:link w:val="33"/>
    <w:semiHidden/>
    <w:unhideWhenUsed/>
    <w:qFormat/>
    <w:uiPriority w:val="99"/>
    <w:rPr>
      <w:b/>
      <w:bCs/>
    </w:rPr>
  </w:style>
  <w:style w:type="character" w:styleId="18">
    <w:name w:val="Hyperlink"/>
    <w:basedOn w:val="17"/>
    <w:unhideWhenUsed/>
    <w:qFormat/>
    <w:uiPriority w:val="99"/>
    <w:rPr>
      <w:color w:val="0000FF" w:themeColor="hyperlink"/>
      <w:u w:val="single"/>
    </w:rPr>
  </w:style>
  <w:style w:type="character" w:styleId="19">
    <w:name w:val="annotation reference"/>
    <w:basedOn w:val="17"/>
    <w:semiHidden/>
    <w:unhideWhenUsed/>
    <w:uiPriority w:val="99"/>
    <w:rPr>
      <w:sz w:val="21"/>
      <w:szCs w:val="21"/>
    </w:rPr>
  </w:style>
  <w:style w:type="character" w:customStyle="1" w:styleId="20">
    <w:name w:val="标题 2 Char"/>
    <w:basedOn w:val="17"/>
    <w:link w:val="3"/>
    <w:qFormat/>
    <w:uiPriority w:val="9"/>
    <w:rPr>
      <w:rFonts w:ascii="仿宋_GB2312" w:hAnsi="宋体" w:eastAsia="仿宋_GB2312" w:cs="宋体"/>
      <w:b/>
      <w:kern w:val="2"/>
      <w:sz w:val="30"/>
      <w:szCs w:val="30"/>
    </w:rPr>
  </w:style>
  <w:style w:type="character" w:customStyle="1" w:styleId="21">
    <w:name w:val="页眉 Char"/>
    <w:basedOn w:val="17"/>
    <w:link w:val="11"/>
    <w:qFormat/>
    <w:uiPriority w:val="99"/>
    <w:rPr>
      <w:sz w:val="18"/>
      <w:szCs w:val="18"/>
    </w:rPr>
  </w:style>
  <w:style w:type="character" w:customStyle="1" w:styleId="22">
    <w:name w:val="页脚 Char"/>
    <w:basedOn w:val="17"/>
    <w:link w:val="10"/>
    <w:qFormat/>
    <w:uiPriority w:val="99"/>
    <w:rPr>
      <w:sz w:val="18"/>
      <w:szCs w:val="18"/>
    </w:rPr>
  </w:style>
  <w:style w:type="character" w:customStyle="1" w:styleId="23">
    <w:name w:val="文档结构图 Char"/>
    <w:basedOn w:val="17"/>
    <w:link w:val="5"/>
    <w:semiHidden/>
    <w:qFormat/>
    <w:uiPriority w:val="99"/>
    <w:rPr>
      <w:rFonts w:ascii="宋体" w:eastAsia="宋体"/>
      <w:sz w:val="18"/>
      <w:szCs w:val="18"/>
    </w:rPr>
  </w:style>
  <w:style w:type="character" w:customStyle="1" w:styleId="24">
    <w:name w:val="批注框文本 Char"/>
    <w:basedOn w:val="17"/>
    <w:link w:val="9"/>
    <w:semiHidden/>
    <w:qFormat/>
    <w:uiPriority w:val="99"/>
    <w:rPr>
      <w:sz w:val="18"/>
      <w:szCs w:val="18"/>
    </w:rPr>
  </w:style>
  <w:style w:type="paragraph" w:customStyle="1" w:styleId="25">
    <w:name w:val="修订1"/>
    <w:hidden/>
    <w:semiHidden/>
    <w:uiPriority w:val="99"/>
    <w:rPr>
      <w:rFonts w:asciiTheme="minorHAnsi" w:hAnsiTheme="minorHAnsi" w:eastAsiaTheme="minorEastAsia" w:cstheme="minorBidi"/>
      <w:kern w:val="2"/>
      <w:sz w:val="21"/>
      <w:szCs w:val="22"/>
      <w:lang w:val="en-US" w:eastAsia="zh-CN" w:bidi="ar-SA"/>
    </w:rPr>
  </w:style>
  <w:style w:type="paragraph" w:styleId="26">
    <w:name w:val="List Paragraph"/>
    <w:basedOn w:val="1"/>
    <w:qFormat/>
    <w:uiPriority w:val="34"/>
    <w:pPr>
      <w:ind w:firstLine="420" w:firstLineChars="200"/>
    </w:pPr>
  </w:style>
  <w:style w:type="character" w:customStyle="1" w:styleId="27">
    <w:name w:val="日期 Char"/>
    <w:basedOn w:val="17"/>
    <w:link w:val="8"/>
    <w:semiHidden/>
    <w:qFormat/>
    <w:uiPriority w:val="99"/>
    <w:rPr>
      <w:kern w:val="2"/>
      <w:sz w:val="21"/>
      <w:szCs w:val="22"/>
    </w:rPr>
  </w:style>
  <w:style w:type="character" w:customStyle="1" w:styleId="28">
    <w:name w:val="标题 1 Char"/>
    <w:basedOn w:val="17"/>
    <w:link w:val="2"/>
    <w:qFormat/>
    <w:uiPriority w:val="1"/>
    <w:rPr>
      <w:rFonts w:ascii="黑体" w:hAnsi="黑体" w:eastAsia="黑体" w:cs="ArialUnicodeMS,Bold"/>
      <w:b/>
      <w:bCs/>
      <w:color w:val="000000"/>
      <w:sz w:val="30"/>
      <w:szCs w:val="30"/>
    </w:rPr>
  </w:style>
  <w:style w:type="character" w:customStyle="1" w:styleId="29">
    <w:name w:val="标题 Char"/>
    <w:basedOn w:val="17"/>
    <w:link w:val="14"/>
    <w:uiPriority w:val="0"/>
    <w:rPr>
      <w:rFonts w:ascii="Cambria" w:hAnsi="Cambria" w:eastAsia="仿宋_GB2312" w:cs="Times New Roman"/>
      <w:b/>
      <w:bCs/>
      <w:kern w:val="2"/>
      <w:sz w:val="36"/>
      <w:szCs w:val="32"/>
    </w:rPr>
  </w:style>
  <w:style w:type="character" w:customStyle="1" w:styleId="30">
    <w:name w:val="标题 3 Char"/>
    <w:basedOn w:val="17"/>
    <w:link w:val="4"/>
    <w:qFormat/>
    <w:uiPriority w:val="9"/>
    <w:rPr>
      <w:rFonts w:ascii="仿宋_GB2312" w:hAnsi="宋体" w:eastAsia="仿宋_GB2312" w:cs="宋体"/>
      <w:b/>
      <w:kern w:val="2"/>
      <w:sz w:val="30"/>
      <w:szCs w:val="30"/>
    </w:rPr>
  </w:style>
  <w:style w:type="paragraph" w:customStyle="1" w:styleId="31">
    <w:name w:val="TOC Heading"/>
    <w:basedOn w:val="2"/>
    <w:next w:val="1"/>
    <w:semiHidden/>
    <w:unhideWhenUsed/>
    <w:qFormat/>
    <w:uiPriority w:val="39"/>
    <w:pPr>
      <w:widowControl/>
      <w:spacing w:before="480" w:line="276" w:lineRule="auto"/>
      <w:outlineLvl w:val="9"/>
    </w:pPr>
    <w:rPr>
      <w:rFonts w:asciiTheme="majorHAnsi" w:hAnsiTheme="majorHAnsi" w:eastAsiaTheme="majorEastAsia" w:cstheme="majorBidi"/>
      <w:color w:val="366091" w:themeColor="accent1" w:themeShade="BF"/>
      <w:sz w:val="28"/>
      <w:szCs w:val="28"/>
    </w:rPr>
  </w:style>
  <w:style w:type="character" w:customStyle="1" w:styleId="32">
    <w:name w:val="批注文字 Char"/>
    <w:basedOn w:val="17"/>
    <w:link w:val="6"/>
    <w:semiHidden/>
    <w:qFormat/>
    <w:uiPriority w:val="99"/>
    <w:rPr>
      <w:kern w:val="2"/>
      <w:sz w:val="21"/>
      <w:szCs w:val="22"/>
    </w:rPr>
  </w:style>
  <w:style w:type="character" w:customStyle="1" w:styleId="33">
    <w:name w:val="批注主题 Char"/>
    <w:basedOn w:val="32"/>
    <w:link w:val="15"/>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98C40-2D19-463D-AD61-F71FD8B09A37}">
  <ds:schemaRefs/>
</ds:datastoreItem>
</file>

<file path=docProps/app.xml><?xml version="1.0" encoding="utf-8"?>
<Properties xmlns="http://schemas.openxmlformats.org/officeDocument/2006/extended-properties" xmlns:vt="http://schemas.openxmlformats.org/officeDocument/2006/docPropsVTypes">
  <Template>Normal</Template>
  <Pages>12</Pages>
  <Words>916</Words>
  <Characters>5226</Characters>
  <Lines>43</Lines>
  <Paragraphs>12</Paragraphs>
  <TotalTime>171</TotalTime>
  <ScaleCrop>false</ScaleCrop>
  <LinksUpToDate>false</LinksUpToDate>
  <CharactersWithSpaces>6130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2021-08-13T01:58:00Z</dcterms:created>
  <dc:creator>dsware</dc:creator>
  <cp:lastModifiedBy>yhu</cp:lastModifiedBy>
  <cp:lastPrinted>2021-05-13T03:03:00Z</cp:lastPrinted>
  <dcterms:modified xsi:type="dcterms:W3CDTF">2021-09-07T01:07:23Z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