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560" w:lineRule="exact"/>
        <w:rPr>
          <w:rFonts w:ascii="Times New Roman" w:hAnsi="Times New Roman" w:eastAsia="方正仿宋简体" w:cs="Times New Roman"/>
          <w:b/>
          <w:color w:val="000000" w:themeColor="text1"/>
          <w:sz w:val="36"/>
          <w:szCs w:val="36"/>
          <w14:textFill>
            <w14:solidFill>
              <w14:schemeClr w14:val="tx1"/>
            </w14:solidFill>
          </w14:textFill>
        </w:rPr>
      </w:pPr>
      <w:r>
        <w:rPr>
          <w:rFonts w:ascii="Times New Roman" w:hAnsi="Times New Roman" w:eastAsia="黑体" w:cs="Times New Roman"/>
          <w:sz w:val="32"/>
          <w:szCs w:val="32"/>
        </w:rPr>
        <w:t>北证办发〔2022〕</w:t>
      </w:r>
      <w:r>
        <w:rPr>
          <w:rFonts w:hint="eastAsia" w:ascii="Times New Roman" w:hAnsi="Times New Roman" w:eastAsia="黑体" w:cs="Times New Roman"/>
          <w:sz w:val="32"/>
          <w:szCs w:val="32"/>
        </w:rPr>
        <w:t>40</w:t>
      </w:r>
      <w:r>
        <w:rPr>
          <w:rFonts w:ascii="Times New Roman" w:hAnsi="Times New Roman" w:eastAsia="黑体" w:cs="Times New Roman"/>
          <w:sz w:val="32"/>
          <w:szCs w:val="32"/>
        </w:rPr>
        <w:t>号附件</w:t>
      </w:r>
    </w:p>
    <w:p>
      <w:pPr>
        <w:spacing w:before="120" w:line="560" w:lineRule="exact"/>
        <w:rPr>
          <w:rFonts w:ascii="Times New Roman" w:hAnsi="Times New Roman" w:eastAsia="方正仿宋简体" w:cs="Times New Roman"/>
          <w:b/>
          <w:color w:val="000000" w:themeColor="text1"/>
          <w:sz w:val="36"/>
          <w:szCs w:val="36"/>
          <w14:textFill>
            <w14:solidFill>
              <w14:schemeClr w14:val="tx1"/>
            </w14:solidFill>
          </w14:textFill>
        </w:rPr>
      </w:pPr>
    </w:p>
    <w:p>
      <w:pPr>
        <w:spacing w:before="120" w:line="560" w:lineRule="exact"/>
        <w:ind w:firstLine="723"/>
        <w:jc w:val="center"/>
        <w:rPr>
          <w:rFonts w:ascii="Times New Roman" w:hAnsi="Times New Roman" w:eastAsia="方正大标宋简体" w:cs="Times New Roman"/>
          <w:color w:val="000000" w:themeColor="text1"/>
          <w:sz w:val="36"/>
          <w:szCs w:val="36"/>
          <w14:textFill>
            <w14:solidFill>
              <w14:schemeClr w14:val="tx1"/>
            </w14:solidFill>
          </w14:textFill>
        </w:rPr>
      </w:pPr>
    </w:p>
    <w:p>
      <w:pPr>
        <w:spacing w:before="120" w:line="560" w:lineRule="exact"/>
        <w:ind w:firstLine="723"/>
        <w:jc w:val="center"/>
        <w:rPr>
          <w:rFonts w:ascii="Times New Roman" w:hAnsi="Times New Roman" w:eastAsia="方正大标宋简体" w:cs="Times New Roman"/>
          <w:color w:val="000000" w:themeColor="text1"/>
          <w:sz w:val="36"/>
          <w:szCs w:val="36"/>
          <w14:textFill>
            <w14:solidFill>
              <w14:schemeClr w14:val="tx1"/>
            </w14:solidFill>
          </w14:textFill>
        </w:rPr>
      </w:pPr>
    </w:p>
    <w:p>
      <w:pPr>
        <w:spacing w:before="120" w:line="560" w:lineRule="exact"/>
        <w:ind w:firstLine="723"/>
        <w:jc w:val="center"/>
        <w:rPr>
          <w:rFonts w:ascii="Times New Roman" w:hAnsi="Times New Roman" w:eastAsia="方正大标宋简体" w:cs="Times New Roman"/>
          <w:color w:val="000000" w:themeColor="text1"/>
          <w:sz w:val="36"/>
          <w:szCs w:val="36"/>
          <w14:textFill>
            <w14:solidFill>
              <w14:schemeClr w14:val="tx1"/>
            </w14:solidFill>
          </w14:textFill>
        </w:rPr>
      </w:pPr>
    </w:p>
    <w:p>
      <w:pPr>
        <w:spacing w:before="120" w:line="560" w:lineRule="exact"/>
        <w:ind w:firstLine="723"/>
        <w:jc w:val="center"/>
        <w:rPr>
          <w:rFonts w:ascii="Times New Roman" w:hAnsi="Times New Roman" w:eastAsia="方正大标宋简体" w:cs="Times New Roman"/>
          <w:color w:val="000000" w:themeColor="text1"/>
          <w:sz w:val="36"/>
          <w:szCs w:val="36"/>
          <w14:textFill>
            <w14:solidFill>
              <w14:schemeClr w14:val="tx1"/>
            </w14:solidFill>
          </w14:textFill>
        </w:rPr>
      </w:pPr>
    </w:p>
    <w:p>
      <w:pPr>
        <w:spacing w:before="120" w:line="560" w:lineRule="exact"/>
        <w:ind w:firstLine="723"/>
        <w:jc w:val="center"/>
        <w:rPr>
          <w:rFonts w:ascii="Times New Roman" w:hAnsi="Times New Roman" w:eastAsia="方正大标宋简体" w:cs="Times New Roman"/>
          <w:color w:val="000000" w:themeColor="text1"/>
          <w:sz w:val="36"/>
          <w:szCs w:val="36"/>
          <w14:textFill>
            <w14:solidFill>
              <w14:schemeClr w14:val="tx1"/>
            </w14:solidFill>
          </w14:textFill>
        </w:rPr>
      </w:pPr>
    </w:p>
    <w:p>
      <w:pPr>
        <w:spacing w:beforeLines="0" w:line="560" w:lineRule="exact"/>
        <w:jc w:val="center"/>
        <w:rPr>
          <w:rFonts w:ascii="Times New Roman" w:hAnsi="Times New Roman" w:eastAsia="方正大标宋简体" w:cs="Times New Roman"/>
          <w:color w:val="000000" w:themeColor="text1"/>
          <w:sz w:val="42"/>
          <w:szCs w:val="42"/>
          <w14:textFill>
            <w14:solidFill>
              <w14:schemeClr w14:val="tx1"/>
            </w14:solidFill>
          </w14:textFill>
        </w:rPr>
      </w:pPr>
      <w:r>
        <w:rPr>
          <w:rFonts w:hint="eastAsia" w:ascii="Times New Roman" w:hAnsi="Times New Roman" w:eastAsia="方正大标宋简体" w:cs="Times New Roman"/>
          <w:color w:val="000000" w:themeColor="text1"/>
          <w:sz w:val="42"/>
          <w:szCs w:val="42"/>
          <w14:textFill>
            <w14:solidFill>
              <w14:schemeClr w14:val="tx1"/>
            </w14:solidFill>
          </w14:textFill>
        </w:rPr>
        <w:t>北京证券交易所</w:t>
      </w:r>
    </w:p>
    <w:p>
      <w:pPr>
        <w:spacing w:beforeLines="0" w:line="560" w:lineRule="exact"/>
        <w:jc w:val="center"/>
        <w:rPr>
          <w:rFonts w:ascii="Times New Roman" w:hAnsi="Times New Roman" w:eastAsia="方正大标宋简体" w:cs="Times New Roman"/>
          <w:color w:val="000000" w:themeColor="text1"/>
          <w:sz w:val="42"/>
          <w:szCs w:val="42"/>
          <w14:textFill>
            <w14:solidFill>
              <w14:schemeClr w14:val="tx1"/>
            </w14:solidFill>
          </w14:textFill>
        </w:rPr>
      </w:pPr>
      <w:bookmarkStart w:id="0" w:name="_Toc423685203"/>
      <w:r>
        <w:rPr>
          <w:rFonts w:ascii="Times New Roman" w:hAnsi="Times New Roman" w:eastAsia="方正大标宋简体" w:cs="Times New Roman"/>
          <w:color w:val="000000" w:themeColor="text1"/>
          <w:sz w:val="42"/>
          <w:szCs w:val="42"/>
          <w14:textFill>
            <w14:solidFill>
              <w14:schemeClr w14:val="tx1"/>
            </w14:solidFill>
          </w14:textFill>
        </w:rPr>
        <w:t>市场参与者技术系统变更指南</w:t>
      </w:r>
      <w:bookmarkEnd w:id="0"/>
    </w:p>
    <w:p>
      <w:pPr>
        <w:spacing w:beforeLines="0" w:line="560" w:lineRule="exact"/>
        <w:jc w:val="center"/>
        <w:rPr>
          <w:rFonts w:ascii="Times New Roman" w:hAnsi="Times New Roman" w:eastAsia="方正大标宋简体" w:cs="Times New Roman"/>
          <w:color w:val="000000" w:themeColor="text1"/>
          <w:sz w:val="42"/>
          <w:szCs w:val="42"/>
          <w14:textFill>
            <w14:solidFill>
              <w14:schemeClr w14:val="tx1"/>
            </w14:solidFill>
          </w14:textFill>
        </w:rPr>
      </w:pPr>
      <w:r>
        <w:rPr>
          <w:rFonts w:ascii="Times New Roman" w:hAnsi="Times New Roman" w:eastAsia="方正大标宋简体" w:cs="Times New Roman"/>
          <w:color w:val="000000" w:themeColor="text1"/>
          <w:sz w:val="42"/>
          <w:szCs w:val="42"/>
          <w14:textFill>
            <w14:solidFill>
              <w14:schemeClr w14:val="tx1"/>
            </w14:solidFill>
          </w14:textFill>
        </w:rPr>
        <w:t>之</w:t>
      </w:r>
      <w:r>
        <w:rPr>
          <w:rFonts w:hint="eastAsia" w:ascii="Times New Roman" w:hAnsi="Times New Roman" w:eastAsia="方正大标宋简体" w:cs="Times New Roman"/>
          <w:color w:val="000000" w:themeColor="text1"/>
          <w:sz w:val="42"/>
          <w:szCs w:val="42"/>
          <w14:textFill>
            <w14:solidFill>
              <w14:schemeClr w14:val="tx1"/>
            </w14:solidFill>
          </w14:textFill>
        </w:rPr>
        <w:t>做市交易</w:t>
      </w:r>
      <w:r>
        <w:rPr>
          <w:rFonts w:ascii="Times New Roman" w:hAnsi="Times New Roman" w:eastAsia="方正大标宋简体" w:cs="Times New Roman"/>
          <w:color w:val="000000" w:themeColor="text1"/>
          <w:sz w:val="42"/>
          <w:szCs w:val="42"/>
          <w14:textFill>
            <w14:solidFill>
              <w14:schemeClr w14:val="tx1"/>
            </w14:solidFill>
          </w14:textFill>
        </w:rPr>
        <w:t>业务</w:t>
      </w:r>
    </w:p>
    <w:p>
      <w:pPr>
        <w:spacing w:beforeLines="0" w:line="560" w:lineRule="exact"/>
        <w:jc w:val="center"/>
        <w:rPr>
          <w:rFonts w:ascii="Times New Roman" w:hAnsi="Times New Roman" w:eastAsia="方正大标宋简体" w:cs="Times New Roman"/>
          <w:color w:val="000000" w:themeColor="text1"/>
          <w:sz w:val="42"/>
          <w:szCs w:val="42"/>
          <w14:textFill>
            <w14:solidFill>
              <w14:schemeClr w14:val="tx1"/>
            </w14:solidFill>
          </w14:textFill>
        </w:rPr>
      </w:pPr>
      <w:r>
        <w:rPr>
          <w:rFonts w:ascii="Times New Roman" w:hAnsi="Times New Roman" w:eastAsia="方正大标宋简体" w:cs="Times New Roman"/>
          <w:color w:val="000000" w:themeColor="text1"/>
          <w:sz w:val="42"/>
          <w:szCs w:val="42"/>
          <w14:textFill>
            <w14:solidFill>
              <w14:schemeClr w14:val="tx1"/>
            </w14:solidFill>
          </w14:textFill>
        </w:rPr>
        <w:t>（V</w:t>
      </w:r>
      <w:r>
        <w:rPr>
          <w:rFonts w:hint="eastAsia" w:ascii="Times New Roman" w:hAnsi="Times New Roman" w:eastAsia="方正大标宋简体" w:cs="Times New Roman"/>
          <w:color w:val="000000" w:themeColor="text1"/>
          <w:sz w:val="42"/>
          <w:szCs w:val="42"/>
          <w14:textFill>
            <w14:solidFill>
              <w14:schemeClr w14:val="tx1"/>
            </w14:solidFill>
          </w14:textFill>
        </w:rPr>
        <w:t>1.0</w:t>
      </w:r>
      <w:r>
        <w:rPr>
          <w:rFonts w:ascii="Times New Roman" w:hAnsi="Times New Roman" w:eastAsia="方正大标宋简体" w:cs="Times New Roman"/>
          <w:color w:val="000000" w:themeColor="text1"/>
          <w:sz w:val="42"/>
          <w:szCs w:val="42"/>
          <w14:textFill>
            <w14:solidFill>
              <w14:schemeClr w14:val="tx1"/>
            </w14:solidFill>
          </w14:textFill>
        </w:rPr>
        <w:t>）</w:t>
      </w:r>
    </w:p>
    <w:p>
      <w:pPr>
        <w:adjustRightInd w:val="0"/>
        <w:snapToGrid w:val="0"/>
        <w:spacing w:before="120" w:after="120" w:line="560" w:lineRule="exact"/>
        <w:ind w:firstLine="2718" w:firstLineChars="971"/>
        <w:rPr>
          <w:rFonts w:ascii="Times New Roman" w:hAnsi="Times New Roman" w:eastAsia="方正大标宋简体" w:cs="Times New Roman"/>
          <w:color w:val="000000" w:themeColor="text1"/>
          <w:sz w:val="28"/>
          <w:szCs w:val="28"/>
          <w14:textFill>
            <w14:solidFill>
              <w14:schemeClr w14:val="tx1"/>
            </w14:solidFill>
          </w14:textFill>
        </w:rPr>
      </w:pPr>
    </w:p>
    <w:p>
      <w:pPr>
        <w:tabs>
          <w:tab w:val="left" w:pos="4200"/>
        </w:tabs>
        <w:spacing w:before="120" w:line="560" w:lineRule="exact"/>
        <w:rPr>
          <w:rFonts w:ascii="Times New Roman" w:hAnsi="Times New Roman" w:eastAsia="方正大标宋简体" w:cs="Times New Roman"/>
          <w:color w:val="000000" w:themeColor="text1"/>
          <w:sz w:val="28"/>
          <w:szCs w:val="28"/>
          <w14:textFill>
            <w14:solidFill>
              <w14:schemeClr w14:val="tx1"/>
            </w14:solidFill>
          </w14:textFill>
        </w:rPr>
      </w:pPr>
    </w:p>
    <w:p>
      <w:pPr>
        <w:tabs>
          <w:tab w:val="left" w:pos="4200"/>
        </w:tabs>
        <w:spacing w:before="120" w:line="560" w:lineRule="exact"/>
        <w:rPr>
          <w:rFonts w:ascii="Times New Roman" w:hAnsi="Times New Roman" w:eastAsia="方正大标宋简体" w:cs="Times New Roman"/>
          <w:color w:val="000000" w:themeColor="text1"/>
          <w:sz w:val="28"/>
          <w:szCs w:val="28"/>
          <w14:textFill>
            <w14:solidFill>
              <w14:schemeClr w14:val="tx1"/>
            </w14:solidFill>
          </w14:textFill>
        </w:rPr>
      </w:pPr>
    </w:p>
    <w:p>
      <w:pPr>
        <w:tabs>
          <w:tab w:val="left" w:pos="4200"/>
        </w:tabs>
        <w:spacing w:before="120" w:line="560" w:lineRule="exact"/>
        <w:rPr>
          <w:rFonts w:ascii="Times New Roman" w:hAnsi="Times New Roman" w:eastAsia="方正大标宋简体" w:cs="Times New Roman"/>
          <w:color w:val="000000" w:themeColor="text1"/>
          <w:sz w:val="36"/>
          <w14:textFill>
            <w14:solidFill>
              <w14:schemeClr w14:val="tx1"/>
            </w14:solidFill>
          </w14:textFill>
        </w:rPr>
      </w:pPr>
    </w:p>
    <w:p>
      <w:pPr>
        <w:tabs>
          <w:tab w:val="left" w:pos="4200"/>
        </w:tabs>
        <w:spacing w:before="120" w:line="560" w:lineRule="exact"/>
        <w:rPr>
          <w:rFonts w:ascii="Times New Roman" w:hAnsi="Times New Roman" w:eastAsia="方正大标宋简体" w:cs="Times New Roman"/>
          <w:color w:val="000000" w:themeColor="text1"/>
          <w:sz w:val="36"/>
          <w14:textFill>
            <w14:solidFill>
              <w14:schemeClr w14:val="tx1"/>
            </w14:solidFill>
          </w14:textFill>
        </w:rPr>
      </w:pPr>
    </w:p>
    <w:p>
      <w:pPr>
        <w:tabs>
          <w:tab w:val="left" w:pos="4200"/>
        </w:tabs>
        <w:spacing w:before="120" w:line="560" w:lineRule="exact"/>
        <w:rPr>
          <w:rFonts w:ascii="Times New Roman" w:hAnsi="Times New Roman" w:eastAsia="方正大标宋简体" w:cs="Times New Roman"/>
          <w:color w:val="000000" w:themeColor="text1"/>
          <w:sz w:val="36"/>
          <w14:textFill>
            <w14:solidFill>
              <w14:schemeClr w14:val="tx1"/>
            </w14:solidFill>
          </w14:textFill>
        </w:rPr>
      </w:pPr>
    </w:p>
    <w:p>
      <w:pPr>
        <w:pStyle w:val="50"/>
        <w:spacing w:before="120" w:line="560" w:lineRule="exact"/>
        <w:rPr>
          <w:rFonts w:ascii="方正大标宋简体" w:hAnsi="方正大标宋简体" w:eastAsia="方正大标宋简体" w:cs="方正大标宋简体"/>
          <w:b w:val="0"/>
          <w:color w:val="000000" w:themeColor="text1"/>
          <w:sz w:val="28"/>
          <w:szCs w:val="28"/>
          <w14:textFill>
            <w14:solidFill>
              <w14:schemeClr w14:val="tx1"/>
            </w14:solidFill>
          </w14:textFill>
        </w:rPr>
      </w:pPr>
      <w:r>
        <w:rPr>
          <w:rFonts w:hint="eastAsia" w:ascii="方正大标宋简体" w:hAnsi="方正大标宋简体" w:eastAsia="方正大标宋简体" w:cs="方正大标宋简体"/>
          <w:b w:val="0"/>
          <w:sz w:val="28"/>
          <w:szCs w:val="28"/>
        </w:rPr>
        <w:t>北京证券交易所</w:t>
      </w:r>
    </w:p>
    <w:p>
      <w:pPr>
        <w:pStyle w:val="50"/>
        <w:spacing w:before="120" w:line="560" w:lineRule="exact"/>
        <w:rPr>
          <w:rFonts w:ascii="方正大标宋简体" w:hAnsi="方正大标宋简体" w:eastAsia="方正大标宋简体" w:cs="方正大标宋简体"/>
          <w:b w:val="0"/>
          <w:color w:val="000000" w:themeColor="text1"/>
          <w:sz w:val="28"/>
          <w:szCs w:val="28"/>
          <w14:textFill>
            <w14:solidFill>
              <w14:schemeClr w14:val="tx1"/>
            </w14:solidFill>
          </w14:textFill>
        </w:rPr>
      </w:pPr>
      <w:r>
        <w:rPr>
          <w:rFonts w:hint="eastAsia" w:ascii="方正大标宋简体" w:hAnsi="方正大标宋简体" w:eastAsia="方正大标宋简体" w:cs="方正大标宋简体"/>
          <w:b w:val="0"/>
          <w:color w:val="000000" w:themeColor="text1"/>
          <w:sz w:val="28"/>
          <w:szCs w:val="28"/>
          <w14:textFill>
            <w14:solidFill>
              <w14:schemeClr w14:val="tx1"/>
            </w14:solidFill>
          </w14:textFill>
        </w:rPr>
        <w:t>二〇二二年十月</w:t>
      </w:r>
    </w:p>
    <w:p>
      <w:pPr>
        <w:spacing w:before="120" w:line="560" w:lineRule="exact"/>
        <w:ind w:firstLine="643"/>
        <w:jc w:val="center"/>
        <w:rPr>
          <w:rFonts w:ascii="Times New Roman" w:hAnsi="Times New Roman" w:eastAsia="方正大标宋简体" w:cs="Times New Roman"/>
          <w:color w:val="000000" w:themeColor="text1"/>
          <w:sz w:val="28"/>
          <w:szCs w:val="28"/>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992" w:footer="612" w:gutter="0"/>
          <w:pgNumType w:fmt="upperRoman" w:start="1"/>
          <w:cols w:space="425" w:num="1"/>
          <w:titlePg/>
          <w:docGrid w:linePitch="326" w:charSpace="0"/>
        </w:sectPr>
      </w:pPr>
    </w:p>
    <w:p>
      <w:pPr>
        <w:pStyle w:val="44"/>
        <w:spacing w:line="560" w:lineRule="exact"/>
        <w:jc w:val="left"/>
        <w:rPr>
          <w:rFonts w:ascii="方正大标宋简体" w:hAnsi="方正大标宋简体" w:eastAsia="方正大标宋简体" w:cs="方正大标宋简体"/>
          <w:color w:val="000000" w:themeColor="text1"/>
          <w:sz w:val="28"/>
          <w:szCs w:val="28"/>
          <w14:textFill>
            <w14:solidFill>
              <w14:schemeClr w14:val="tx1"/>
            </w14:solidFill>
          </w14:textFill>
        </w:rPr>
      </w:pPr>
    </w:p>
    <w:p>
      <w:pPr>
        <w:pStyle w:val="44"/>
        <w:spacing w:line="560" w:lineRule="exact"/>
        <w:rPr>
          <w:rFonts w:ascii="方正大标宋简体" w:hAnsi="方正大标宋简体" w:eastAsia="方正大标宋简体" w:cs="方正大标宋简体"/>
          <w:color w:val="000000" w:themeColor="text1"/>
          <w:sz w:val="42"/>
          <w:szCs w:val="42"/>
          <w14:textFill>
            <w14:solidFill>
              <w14:schemeClr w14:val="tx1"/>
            </w14:solidFill>
          </w14:textFill>
        </w:rPr>
      </w:pPr>
      <w:r>
        <w:rPr>
          <w:rFonts w:hint="eastAsia" w:ascii="方正大标宋简体" w:hAnsi="方正大标宋简体" w:eastAsia="方正大标宋简体" w:cs="方正大标宋简体"/>
          <w:color w:val="000000" w:themeColor="text1"/>
          <w:sz w:val="42"/>
          <w:szCs w:val="42"/>
          <w14:textFill>
            <w14:solidFill>
              <w14:schemeClr w14:val="tx1"/>
            </w14:solidFill>
          </w14:textFill>
        </w:rPr>
        <w:t>修订历史</w:t>
      </w:r>
    </w:p>
    <w:p>
      <w:pPr>
        <w:pStyle w:val="8"/>
        <w:spacing w:before="156" w:line="560" w:lineRule="exact"/>
        <w:ind w:firstLine="600"/>
        <w:rPr>
          <w:rFonts w:ascii="方正仿宋简体" w:hAnsi="方正仿宋简体" w:eastAsia="方正仿宋简体" w:cs="方正仿宋简体"/>
          <w:color w:val="000000" w:themeColor="text1"/>
          <w:sz w:val="30"/>
          <w:szCs w:val="30"/>
          <w14:textFill>
            <w14:solidFill>
              <w14:schemeClr w14:val="tx1"/>
            </w14:solidFill>
          </w14:textFill>
        </w:rPr>
      </w:pPr>
    </w:p>
    <w:tbl>
      <w:tblPr>
        <w:tblStyle w:val="21"/>
        <w:tblW w:w="8613" w:type="dxa"/>
        <w:tblInd w:w="0" w:type="dxa"/>
        <w:tblLayout w:type="fixed"/>
        <w:tblCellMar>
          <w:top w:w="0" w:type="dxa"/>
          <w:left w:w="108" w:type="dxa"/>
          <w:bottom w:w="0" w:type="dxa"/>
          <w:right w:w="108" w:type="dxa"/>
        </w:tblCellMar>
      </w:tblPr>
      <w:tblGrid>
        <w:gridCol w:w="1104"/>
        <w:gridCol w:w="1414"/>
        <w:gridCol w:w="6095"/>
      </w:tblGrid>
      <w:tr>
        <w:tblPrEx>
          <w:tblCellMar>
            <w:top w:w="0" w:type="dxa"/>
            <w:left w:w="108" w:type="dxa"/>
            <w:bottom w:w="0" w:type="dxa"/>
            <w:right w:w="108" w:type="dxa"/>
          </w:tblCellMar>
        </w:tblPrEx>
        <w:trPr>
          <w:cantSplit/>
        </w:trPr>
        <w:tc>
          <w:tcPr>
            <w:tcW w:w="8613" w:type="dxa"/>
            <w:gridSpan w:val="3"/>
            <w:tcBorders>
              <w:top w:val="double" w:color="auto" w:sz="4" w:space="0"/>
              <w:left w:val="double" w:color="auto" w:sz="4" w:space="0"/>
              <w:bottom w:val="single" w:color="auto" w:sz="4" w:space="0"/>
              <w:right w:val="double" w:color="auto" w:sz="4" w:space="0"/>
            </w:tcBorders>
            <w:shd w:val="clear" w:color="auto" w:fill="CCCCCC"/>
          </w:tcPr>
          <w:p>
            <w:pPr>
              <w:pStyle w:val="41"/>
              <w:spacing w:before="156"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修订历史</w:t>
            </w:r>
          </w:p>
        </w:tc>
      </w:tr>
      <w:tr>
        <w:tblPrEx>
          <w:tblCellMar>
            <w:top w:w="0" w:type="dxa"/>
            <w:left w:w="108" w:type="dxa"/>
            <w:bottom w:w="0" w:type="dxa"/>
            <w:right w:w="108" w:type="dxa"/>
          </w:tblCellMar>
        </w:tblPrEx>
        <w:trPr>
          <w:cantSplit/>
        </w:trPr>
        <w:tc>
          <w:tcPr>
            <w:tcW w:w="1104" w:type="dxa"/>
            <w:tcBorders>
              <w:top w:val="single" w:color="auto" w:sz="4" w:space="0"/>
              <w:left w:val="double" w:color="auto" w:sz="4" w:space="0"/>
              <w:bottom w:val="single" w:color="auto" w:sz="4" w:space="0"/>
              <w:right w:val="single" w:color="auto" w:sz="4" w:space="0"/>
            </w:tcBorders>
            <w:shd w:val="clear" w:color="auto" w:fill="CCCCCC"/>
          </w:tcPr>
          <w:p>
            <w:pPr>
              <w:pStyle w:val="41"/>
              <w:spacing w:before="156"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版本号</w:t>
            </w:r>
          </w:p>
        </w:tc>
        <w:tc>
          <w:tcPr>
            <w:tcW w:w="1414" w:type="dxa"/>
            <w:tcBorders>
              <w:top w:val="single" w:color="auto" w:sz="4" w:space="0"/>
              <w:left w:val="single" w:color="auto" w:sz="4" w:space="0"/>
              <w:bottom w:val="single" w:color="auto" w:sz="4" w:space="0"/>
              <w:right w:val="single" w:color="auto" w:sz="4" w:space="0"/>
            </w:tcBorders>
            <w:shd w:val="clear" w:color="auto" w:fill="CCCCCC"/>
          </w:tcPr>
          <w:p>
            <w:pPr>
              <w:pStyle w:val="41"/>
              <w:spacing w:before="156"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修订日期</w:t>
            </w:r>
          </w:p>
        </w:tc>
        <w:tc>
          <w:tcPr>
            <w:tcW w:w="6095" w:type="dxa"/>
            <w:tcBorders>
              <w:top w:val="single" w:color="auto" w:sz="4" w:space="0"/>
              <w:left w:val="single" w:color="auto" w:sz="4" w:space="0"/>
              <w:bottom w:val="single" w:color="auto" w:sz="4" w:space="0"/>
              <w:right w:val="double" w:color="auto" w:sz="4" w:space="0"/>
            </w:tcBorders>
            <w:shd w:val="clear" w:color="auto" w:fill="CCCCCC"/>
          </w:tcPr>
          <w:p>
            <w:pPr>
              <w:pStyle w:val="41"/>
              <w:spacing w:before="156"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修订说明</w:t>
            </w:r>
          </w:p>
        </w:tc>
      </w:tr>
      <w:tr>
        <w:tblPrEx>
          <w:tblCellMar>
            <w:top w:w="0" w:type="dxa"/>
            <w:left w:w="108" w:type="dxa"/>
            <w:bottom w:w="0" w:type="dxa"/>
            <w:right w:w="108" w:type="dxa"/>
          </w:tblCellMar>
        </w:tblPrEx>
        <w:trPr>
          <w:cantSplit/>
          <w:trHeight w:val="454" w:hRule="atLeast"/>
        </w:trPr>
        <w:tc>
          <w:tcPr>
            <w:tcW w:w="1104" w:type="dxa"/>
            <w:tcBorders>
              <w:top w:val="single" w:color="auto" w:sz="4" w:space="0"/>
              <w:left w:val="double" w:color="auto" w:sz="4" w:space="0"/>
              <w:bottom w:val="single" w:color="auto" w:sz="4" w:space="0"/>
              <w:right w:val="single" w:color="auto" w:sz="4" w:space="0"/>
            </w:tcBorders>
          </w:tcPr>
          <w:p>
            <w:pPr>
              <w:pStyle w:val="40"/>
              <w:spacing w:before="156"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V1.0</w:t>
            </w:r>
          </w:p>
        </w:tc>
        <w:tc>
          <w:tcPr>
            <w:tcW w:w="1414" w:type="dxa"/>
            <w:tcBorders>
              <w:top w:val="single" w:color="auto" w:sz="4" w:space="0"/>
              <w:left w:val="single" w:color="auto" w:sz="4" w:space="0"/>
              <w:bottom w:val="single" w:color="auto" w:sz="4" w:space="0"/>
              <w:right w:val="single" w:color="auto" w:sz="4" w:space="0"/>
            </w:tcBorders>
          </w:tcPr>
          <w:p>
            <w:pPr>
              <w:pStyle w:val="40"/>
              <w:spacing w:before="156"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2022.10</w:t>
            </w:r>
          </w:p>
        </w:tc>
        <w:tc>
          <w:tcPr>
            <w:tcW w:w="6095" w:type="dxa"/>
            <w:tcBorders>
              <w:top w:val="single" w:color="auto" w:sz="4" w:space="0"/>
              <w:left w:val="single" w:color="auto" w:sz="4" w:space="0"/>
              <w:bottom w:val="single" w:color="auto" w:sz="4" w:space="0"/>
              <w:right w:val="double" w:color="auto" w:sz="4" w:space="0"/>
            </w:tcBorders>
          </w:tcPr>
          <w:p>
            <w:pPr>
              <w:pStyle w:val="40"/>
              <w:spacing w:before="156"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形成文档</w:t>
            </w:r>
          </w:p>
        </w:tc>
      </w:tr>
      <w:tr>
        <w:tblPrEx>
          <w:tblCellMar>
            <w:top w:w="0" w:type="dxa"/>
            <w:left w:w="108" w:type="dxa"/>
            <w:bottom w:w="0" w:type="dxa"/>
            <w:right w:w="108" w:type="dxa"/>
          </w:tblCellMar>
        </w:tblPrEx>
        <w:trPr>
          <w:cantSplit/>
          <w:trHeight w:val="454" w:hRule="atLeast"/>
        </w:trPr>
        <w:tc>
          <w:tcPr>
            <w:tcW w:w="1104" w:type="dxa"/>
            <w:tcBorders>
              <w:top w:val="single" w:color="auto" w:sz="4" w:space="0"/>
              <w:left w:val="double" w:color="auto" w:sz="4" w:space="0"/>
              <w:bottom w:val="single" w:color="auto" w:sz="4" w:space="0"/>
              <w:right w:val="single" w:color="auto" w:sz="4" w:space="0"/>
            </w:tcBorders>
          </w:tcPr>
          <w:p>
            <w:pPr>
              <w:pStyle w:val="40"/>
              <w:spacing w:before="156"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tcPr>
          <w:p>
            <w:pPr>
              <w:pStyle w:val="40"/>
              <w:spacing w:before="156"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6095" w:type="dxa"/>
            <w:tcBorders>
              <w:top w:val="single" w:color="auto" w:sz="4" w:space="0"/>
              <w:left w:val="single" w:color="auto" w:sz="4" w:space="0"/>
              <w:bottom w:val="single" w:color="auto" w:sz="4" w:space="0"/>
              <w:right w:val="double" w:color="auto" w:sz="4" w:space="0"/>
            </w:tcBorders>
          </w:tcPr>
          <w:p>
            <w:pPr>
              <w:pStyle w:val="40"/>
              <w:spacing w:before="156"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cantSplit/>
          <w:trHeight w:val="454" w:hRule="atLeast"/>
        </w:trPr>
        <w:tc>
          <w:tcPr>
            <w:tcW w:w="1104" w:type="dxa"/>
            <w:tcBorders>
              <w:top w:val="single" w:color="auto" w:sz="4" w:space="0"/>
              <w:left w:val="doub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bookmarkStart w:id="37" w:name="_GoBack"/>
            <w:bookmarkEnd w:id="37"/>
          </w:p>
        </w:tc>
        <w:tc>
          <w:tcPr>
            <w:tcW w:w="6095" w:type="dxa"/>
            <w:tcBorders>
              <w:top w:val="single" w:color="auto" w:sz="4" w:space="0"/>
              <w:left w:val="single" w:color="auto" w:sz="4" w:space="0"/>
              <w:bottom w:val="single" w:color="auto" w:sz="4" w:space="0"/>
              <w:right w:val="doub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cantSplit/>
          <w:trHeight w:val="454" w:hRule="atLeast"/>
        </w:trPr>
        <w:tc>
          <w:tcPr>
            <w:tcW w:w="1104" w:type="dxa"/>
            <w:tcBorders>
              <w:top w:val="single" w:color="auto" w:sz="4" w:space="0"/>
              <w:left w:val="doub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6095" w:type="dxa"/>
            <w:tcBorders>
              <w:top w:val="single" w:color="auto" w:sz="4" w:space="0"/>
              <w:left w:val="single" w:color="auto" w:sz="4" w:space="0"/>
              <w:bottom w:val="single" w:color="auto" w:sz="4" w:space="0"/>
              <w:right w:val="doub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cantSplit/>
          <w:trHeight w:val="454" w:hRule="atLeast"/>
        </w:trPr>
        <w:tc>
          <w:tcPr>
            <w:tcW w:w="1104" w:type="dxa"/>
            <w:tcBorders>
              <w:top w:val="single" w:color="auto" w:sz="4" w:space="0"/>
              <w:left w:val="doub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6095" w:type="dxa"/>
            <w:tcBorders>
              <w:top w:val="single" w:color="auto" w:sz="4" w:space="0"/>
              <w:left w:val="single" w:color="auto" w:sz="4" w:space="0"/>
              <w:bottom w:val="single" w:color="auto" w:sz="4" w:space="0"/>
              <w:right w:val="doub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cantSplit/>
          <w:trHeight w:val="454" w:hRule="atLeast"/>
        </w:trPr>
        <w:tc>
          <w:tcPr>
            <w:tcW w:w="1104" w:type="dxa"/>
            <w:tcBorders>
              <w:top w:val="single" w:color="auto" w:sz="4" w:space="0"/>
              <w:left w:val="doub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6095" w:type="dxa"/>
            <w:tcBorders>
              <w:top w:val="single" w:color="auto" w:sz="4" w:space="0"/>
              <w:left w:val="single" w:color="auto" w:sz="4" w:space="0"/>
              <w:bottom w:val="single" w:color="auto" w:sz="4" w:space="0"/>
              <w:right w:val="doub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cantSplit/>
          <w:trHeight w:val="454" w:hRule="atLeast"/>
        </w:trPr>
        <w:tc>
          <w:tcPr>
            <w:tcW w:w="1104" w:type="dxa"/>
            <w:tcBorders>
              <w:top w:val="single" w:color="auto" w:sz="4" w:space="0"/>
              <w:left w:val="doub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6095" w:type="dxa"/>
            <w:tcBorders>
              <w:top w:val="single" w:color="auto" w:sz="4" w:space="0"/>
              <w:left w:val="single" w:color="auto" w:sz="4" w:space="0"/>
              <w:bottom w:val="single" w:color="auto" w:sz="4" w:space="0"/>
              <w:right w:val="doub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cantSplit/>
          <w:trHeight w:val="454" w:hRule="atLeast"/>
        </w:trPr>
        <w:tc>
          <w:tcPr>
            <w:tcW w:w="1104" w:type="dxa"/>
            <w:tcBorders>
              <w:top w:val="single" w:color="auto" w:sz="4" w:space="0"/>
              <w:left w:val="doub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6095" w:type="dxa"/>
            <w:tcBorders>
              <w:top w:val="single" w:color="auto" w:sz="4" w:space="0"/>
              <w:left w:val="single" w:color="auto" w:sz="4" w:space="0"/>
              <w:bottom w:val="single" w:color="auto" w:sz="4" w:space="0"/>
              <w:right w:val="doub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cantSplit/>
          <w:trHeight w:val="454" w:hRule="atLeast"/>
        </w:trPr>
        <w:tc>
          <w:tcPr>
            <w:tcW w:w="1104" w:type="dxa"/>
            <w:tcBorders>
              <w:top w:val="single" w:color="auto" w:sz="4" w:space="0"/>
              <w:left w:val="doub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1414" w:type="dxa"/>
            <w:tcBorders>
              <w:top w:val="single" w:color="auto" w:sz="4" w:space="0"/>
              <w:left w:val="single" w:color="auto" w:sz="4" w:space="0"/>
              <w:bottom w:val="sing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6095" w:type="dxa"/>
            <w:tcBorders>
              <w:top w:val="single" w:color="auto" w:sz="4" w:space="0"/>
              <w:left w:val="single" w:color="auto" w:sz="4" w:space="0"/>
              <w:bottom w:val="single" w:color="auto" w:sz="4" w:space="0"/>
              <w:right w:val="doub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cantSplit/>
          <w:trHeight w:val="454" w:hRule="atLeast"/>
        </w:trPr>
        <w:tc>
          <w:tcPr>
            <w:tcW w:w="1104" w:type="dxa"/>
            <w:tcBorders>
              <w:top w:val="single" w:color="auto" w:sz="4" w:space="0"/>
              <w:left w:val="double" w:color="auto" w:sz="4" w:space="0"/>
              <w:bottom w:val="doub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1414" w:type="dxa"/>
            <w:tcBorders>
              <w:top w:val="single" w:color="auto" w:sz="4" w:space="0"/>
              <w:left w:val="single" w:color="auto" w:sz="4" w:space="0"/>
              <w:bottom w:val="double" w:color="auto" w:sz="4" w:space="0"/>
              <w:right w:val="sing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c>
          <w:tcPr>
            <w:tcW w:w="6095" w:type="dxa"/>
            <w:tcBorders>
              <w:top w:val="single" w:color="auto" w:sz="4" w:space="0"/>
              <w:left w:val="single" w:color="auto" w:sz="4" w:space="0"/>
              <w:bottom w:val="double" w:color="auto" w:sz="4" w:space="0"/>
              <w:right w:val="double" w:color="auto" w:sz="4" w:space="0"/>
            </w:tcBorders>
          </w:tcPr>
          <w:p>
            <w:pPr>
              <w:pStyle w:val="40"/>
              <w:spacing w:before="156" w:line="560" w:lineRule="exact"/>
              <w:ind w:firstLine="480"/>
              <w:rPr>
                <w:rFonts w:ascii="方正仿宋简体" w:hAnsi="方正仿宋简体" w:eastAsia="方正仿宋简体" w:cs="方正仿宋简体"/>
                <w:color w:val="000000" w:themeColor="text1"/>
                <w:sz w:val="28"/>
                <w:szCs w:val="28"/>
                <w14:textFill>
                  <w14:solidFill>
                    <w14:schemeClr w14:val="tx1"/>
                  </w14:solidFill>
                </w14:textFill>
              </w:rPr>
            </w:pPr>
          </w:p>
        </w:tc>
      </w:tr>
    </w:tbl>
    <w:p>
      <w:pPr>
        <w:spacing w:before="156" w:line="560" w:lineRule="exact"/>
        <w:ind w:firstLine="560"/>
        <w:rPr>
          <w:rFonts w:ascii="Times New Roman" w:hAnsi="Times New Roman" w:eastAsia="方正仿宋简体" w:cs="Times New Roman"/>
          <w:color w:val="000000" w:themeColor="text1"/>
          <w:sz w:val="28"/>
          <w:szCs w:val="28"/>
          <w14:textFill>
            <w14:solidFill>
              <w14:schemeClr w14:val="tx1"/>
            </w14:solidFill>
          </w14:textFill>
        </w:rPr>
        <w:sectPr>
          <w:headerReference r:id="rId13" w:type="first"/>
          <w:footerReference r:id="rId15" w:type="first"/>
          <w:headerReference r:id="rId11" w:type="default"/>
          <w:footerReference r:id="rId14" w:type="default"/>
          <w:headerReference r:id="rId12" w:type="even"/>
          <w:pgSz w:w="11906" w:h="16838"/>
          <w:pgMar w:top="1440" w:right="1800" w:bottom="1440" w:left="1800" w:header="851" w:footer="992" w:gutter="0"/>
          <w:pgNumType w:fmt="upperRoman" w:start="1"/>
          <w:cols w:space="425" w:num="1"/>
          <w:docGrid w:type="lines" w:linePitch="312" w:charSpace="0"/>
        </w:sectPr>
      </w:pPr>
    </w:p>
    <w:p>
      <w:pPr>
        <w:pStyle w:val="44"/>
        <w:spacing w:line="560" w:lineRule="exact"/>
        <w:jc w:val="left"/>
        <w:rPr>
          <w:rFonts w:ascii="方正大标宋简体" w:hAnsi="方正大标宋简体" w:eastAsia="方正大标宋简体" w:cs="方正大标宋简体"/>
          <w:bCs/>
          <w:color w:val="000000" w:themeColor="text1"/>
          <w:sz w:val="28"/>
          <w:szCs w:val="28"/>
          <w:lang w:val="en-GB"/>
          <w14:textFill>
            <w14:solidFill>
              <w14:schemeClr w14:val="tx1"/>
            </w14:solidFill>
          </w14:textFill>
        </w:rPr>
      </w:pPr>
    </w:p>
    <w:p>
      <w:pPr>
        <w:pStyle w:val="44"/>
        <w:spacing w:line="560" w:lineRule="exact"/>
        <w:rPr>
          <w:rFonts w:ascii="方正大标宋简体" w:hAnsi="方正大标宋简体" w:eastAsia="方正大标宋简体" w:cs="方正大标宋简体"/>
          <w:b w:val="0"/>
          <w:bCs/>
          <w:color w:val="000000" w:themeColor="text1"/>
          <w:sz w:val="42"/>
          <w:szCs w:val="42"/>
          <w:lang w:val="en-GB"/>
          <w14:textFill>
            <w14:solidFill>
              <w14:schemeClr w14:val="tx1"/>
            </w14:solidFill>
          </w14:textFill>
        </w:rPr>
      </w:pPr>
      <w:r>
        <w:rPr>
          <w:rFonts w:hint="eastAsia" w:ascii="方正大标宋简体" w:hAnsi="方正大标宋简体" w:eastAsia="方正大标宋简体" w:cs="方正大标宋简体"/>
          <w:bCs/>
          <w:color w:val="000000" w:themeColor="text1"/>
          <w:sz w:val="42"/>
          <w:szCs w:val="42"/>
          <w:lang w:val="en-GB"/>
          <w14:textFill>
            <w14:solidFill>
              <w14:schemeClr w14:val="tx1"/>
            </w14:solidFill>
          </w14:textFill>
        </w:rPr>
        <w:t>目录</w:t>
      </w:r>
    </w:p>
    <w:p>
      <w:pPr>
        <w:pStyle w:val="16"/>
        <w:tabs>
          <w:tab w:val="right" w:leader="dot" w:pos="8306"/>
        </w:tabs>
        <w:spacing w:before="156" w:line="560" w:lineRule="exact"/>
        <w:rPr>
          <w:rFonts w:ascii="方正仿宋简体" w:hAnsi="方正仿宋简体" w:eastAsia="方正仿宋简体" w:cs="方正仿宋简体"/>
          <w:sz w:val="30"/>
          <w:szCs w:val="30"/>
        </w:rPr>
      </w:pPr>
      <w:r>
        <w:rPr>
          <w:rFonts w:hint="eastAsia" w:ascii="方正仿宋简体" w:hAnsi="方正仿宋简体" w:eastAsia="方正仿宋简体" w:cs="方正仿宋简体"/>
          <w:b/>
          <w:color w:val="000000" w:themeColor="text1"/>
          <w:sz w:val="30"/>
          <w:szCs w:val="30"/>
          <w14:textFill>
            <w14:solidFill>
              <w14:schemeClr w14:val="tx1"/>
            </w14:solidFill>
          </w14:textFill>
        </w:rPr>
        <w:fldChar w:fldCharType="begin"/>
      </w:r>
      <w:r>
        <w:rPr>
          <w:rFonts w:hint="eastAsia" w:ascii="方正仿宋简体" w:hAnsi="方正仿宋简体" w:eastAsia="方正仿宋简体" w:cs="方正仿宋简体"/>
          <w:b/>
          <w:color w:val="000000" w:themeColor="text1"/>
          <w:sz w:val="30"/>
          <w:szCs w:val="30"/>
          <w14:textFill>
            <w14:solidFill>
              <w14:schemeClr w14:val="tx1"/>
            </w14:solidFill>
          </w14:textFill>
        </w:rPr>
        <w:instrText xml:space="preserve"> TOC \o "1-3" \h \z \u </w:instrText>
      </w:r>
      <w:r>
        <w:rPr>
          <w:rFonts w:hint="eastAsia" w:ascii="方正仿宋简体" w:hAnsi="方正仿宋简体" w:eastAsia="方正仿宋简体" w:cs="方正仿宋简体"/>
          <w:b/>
          <w:color w:val="000000" w:themeColor="text1"/>
          <w:sz w:val="30"/>
          <w:szCs w:val="30"/>
          <w14:textFill>
            <w14:solidFill>
              <w14:schemeClr w14:val="tx1"/>
            </w14:solidFill>
          </w14:textFill>
        </w:rPr>
        <w:fldChar w:fldCharType="separate"/>
      </w:r>
      <w:r>
        <w:fldChar w:fldCharType="begin"/>
      </w:r>
      <w:r>
        <w:instrText xml:space="preserve"> HYPERLINK \l "_Toc1779433007" </w:instrText>
      </w:r>
      <w:r>
        <w:fldChar w:fldCharType="separate"/>
      </w:r>
      <w:r>
        <w:rPr>
          <w:rFonts w:hint="eastAsia" w:ascii="方正仿宋简体" w:hAnsi="方正仿宋简体" w:eastAsia="方正仿宋简体" w:cs="方正仿宋简体"/>
          <w:sz w:val="30"/>
          <w:szCs w:val="30"/>
        </w:rPr>
        <w:t>一、说明</w:t>
      </w:r>
      <w:r>
        <w:rPr>
          <w:rFonts w:hint="eastAsia" w:ascii="方正仿宋简体" w:hAnsi="方正仿宋简体" w:eastAsia="方正仿宋简体" w:cs="方正仿宋简体"/>
          <w:sz w:val="30"/>
          <w:szCs w:val="30"/>
        </w:rPr>
        <w:tab/>
      </w: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PAGEREF _Toc1779433007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1</w:t>
      </w:r>
      <w:r>
        <w:rPr>
          <w:rFonts w:hint="eastAsia" w:ascii="方正仿宋简体" w:hAnsi="方正仿宋简体" w:eastAsia="方正仿宋简体" w:cs="方正仿宋简体"/>
          <w:sz w:val="30"/>
          <w:szCs w:val="30"/>
        </w:rPr>
        <w:fldChar w:fldCharType="end"/>
      </w:r>
      <w:r>
        <w:rPr>
          <w:rFonts w:hint="eastAsia" w:ascii="方正仿宋简体" w:hAnsi="方正仿宋简体" w:eastAsia="方正仿宋简体" w:cs="方正仿宋简体"/>
          <w:sz w:val="30"/>
          <w:szCs w:val="30"/>
        </w:rPr>
        <w:fldChar w:fldCharType="end"/>
      </w:r>
    </w:p>
    <w:p>
      <w:pPr>
        <w:pStyle w:val="16"/>
        <w:tabs>
          <w:tab w:val="right" w:leader="dot" w:pos="8306"/>
        </w:tabs>
        <w:spacing w:before="156" w:line="560" w:lineRule="exact"/>
        <w:rPr>
          <w:rFonts w:ascii="方正仿宋简体" w:hAnsi="方正仿宋简体" w:eastAsia="方正仿宋简体" w:cs="方正仿宋简体"/>
          <w:sz w:val="30"/>
          <w:szCs w:val="30"/>
        </w:rPr>
      </w:pPr>
      <w:r>
        <w:fldChar w:fldCharType="begin"/>
      </w:r>
      <w:r>
        <w:instrText xml:space="preserve"> HYPERLINK \l "_Toc1826143267" </w:instrText>
      </w:r>
      <w:r>
        <w:fldChar w:fldCharType="separate"/>
      </w:r>
      <w:r>
        <w:rPr>
          <w:rFonts w:hint="eastAsia" w:ascii="方正仿宋简体" w:hAnsi="方正仿宋简体" w:eastAsia="方正仿宋简体" w:cs="方正仿宋简体"/>
          <w:sz w:val="30"/>
          <w:szCs w:val="30"/>
        </w:rPr>
        <w:t>二、参考文档</w:t>
      </w:r>
      <w:r>
        <w:rPr>
          <w:rFonts w:hint="eastAsia" w:ascii="方正仿宋简体" w:hAnsi="方正仿宋简体" w:eastAsia="方正仿宋简体" w:cs="方正仿宋简体"/>
          <w:sz w:val="30"/>
          <w:szCs w:val="30"/>
        </w:rPr>
        <w:tab/>
      </w: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PAGEREF _Toc1826143267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1</w:t>
      </w:r>
      <w:r>
        <w:rPr>
          <w:rFonts w:hint="eastAsia" w:ascii="方正仿宋简体" w:hAnsi="方正仿宋简体" w:eastAsia="方正仿宋简体" w:cs="方正仿宋简体"/>
          <w:sz w:val="30"/>
          <w:szCs w:val="30"/>
        </w:rPr>
        <w:fldChar w:fldCharType="end"/>
      </w:r>
      <w:r>
        <w:rPr>
          <w:rFonts w:hint="eastAsia" w:ascii="方正仿宋简体" w:hAnsi="方正仿宋简体" w:eastAsia="方正仿宋简体" w:cs="方正仿宋简体"/>
          <w:sz w:val="30"/>
          <w:szCs w:val="30"/>
        </w:rPr>
        <w:fldChar w:fldCharType="end"/>
      </w:r>
    </w:p>
    <w:p>
      <w:pPr>
        <w:pStyle w:val="16"/>
        <w:tabs>
          <w:tab w:val="right" w:leader="dot" w:pos="8306"/>
        </w:tabs>
        <w:spacing w:before="156" w:line="560" w:lineRule="exact"/>
        <w:rPr>
          <w:rFonts w:ascii="方正仿宋简体" w:hAnsi="方正仿宋简体" w:eastAsia="方正仿宋简体" w:cs="方正仿宋简体"/>
          <w:sz w:val="30"/>
          <w:szCs w:val="30"/>
        </w:rPr>
      </w:pPr>
      <w:r>
        <w:fldChar w:fldCharType="begin"/>
      </w:r>
      <w:r>
        <w:instrText xml:space="preserve"> HYPERLINK \l "_Toc2017981558" </w:instrText>
      </w:r>
      <w:r>
        <w:fldChar w:fldCharType="separate"/>
      </w:r>
      <w:r>
        <w:rPr>
          <w:rFonts w:hint="eastAsia" w:ascii="方正仿宋简体" w:hAnsi="方正仿宋简体" w:eastAsia="方正仿宋简体" w:cs="方正仿宋简体"/>
          <w:sz w:val="30"/>
          <w:szCs w:val="30"/>
        </w:rPr>
        <w:t>三、变动简述</w:t>
      </w:r>
      <w:r>
        <w:rPr>
          <w:rFonts w:hint="eastAsia" w:ascii="方正仿宋简体" w:hAnsi="方正仿宋简体" w:eastAsia="方正仿宋简体" w:cs="方正仿宋简体"/>
          <w:sz w:val="30"/>
          <w:szCs w:val="30"/>
        </w:rPr>
        <w:tab/>
      </w: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PAGEREF _Toc2017981558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1</w:t>
      </w:r>
      <w:r>
        <w:rPr>
          <w:rFonts w:hint="eastAsia" w:ascii="方正仿宋简体" w:hAnsi="方正仿宋简体" w:eastAsia="方正仿宋简体" w:cs="方正仿宋简体"/>
          <w:sz w:val="30"/>
          <w:szCs w:val="30"/>
        </w:rPr>
        <w:fldChar w:fldCharType="end"/>
      </w:r>
      <w:r>
        <w:rPr>
          <w:rFonts w:hint="eastAsia" w:ascii="方正仿宋简体" w:hAnsi="方正仿宋简体" w:eastAsia="方正仿宋简体" w:cs="方正仿宋简体"/>
          <w:sz w:val="30"/>
          <w:szCs w:val="30"/>
        </w:rPr>
        <w:fldChar w:fldCharType="end"/>
      </w:r>
    </w:p>
    <w:p>
      <w:pPr>
        <w:pStyle w:val="18"/>
        <w:tabs>
          <w:tab w:val="right" w:leader="dot" w:pos="8306"/>
        </w:tabs>
        <w:spacing w:before="156" w:line="560" w:lineRule="exact"/>
        <w:ind w:left="210"/>
        <w:rPr>
          <w:rFonts w:ascii="方正仿宋简体" w:hAnsi="方正仿宋简体" w:eastAsia="方正仿宋简体" w:cs="方正仿宋简体"/>
          <w:sz w:val="30"/>
          <w:szCs w:val="30"/>
        </w:rPr>
      </w:pPr>
      <w:r>
        <w:fldChar w:fldCharType="begin"/>
      </w:r>
      <w:r>
        <w:instrText xml:space="preserve"> HYPERLINK \l "_Toc1540518519" </w:instrText>
      </w:r>
      <w:r>
        <w:fldChar w:fldCharType="separate"/>
      </w:r>
      <w:r>
        <w:rPr>
          <w:rFonts w:hint="eastAsia" w:ascii="方正仿宋简体" w:hAnsi="方正仿宋简体" w:eastAsia="方正仿宋简体" w:cs="方正仿宋简体"/>
          <w:sz w:val="30"/>
          <w:szCs w:val="30"/>
        </w:rPr>
        <w:t>（一） 做市商可以参与公开发行业务</w:t>
      </w:r>
      <w:r>
        <w:rPr>
          <w:rFonts w:hint="eastAsia" w:ascii="方正仿宋简体" w:hAnsi="方正仿宋简体" w:eastAsia="方正仿宋简体" w:cs="方正仿宋简体"/>
          <w:sz w:val="30"/>
          <w:szCs w:val="30"/>
        </w:rPr>
        <w:tab/>
      </w: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PAGEREF _Toc1540518519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1</w:t>
      </w:r>
      <w:r>
        <w:rPr>
          <w:rFonts w:hint="eastAsia" w:ascii="方正仿宋简体" w:hAnsi="方正仿宋简体" w:eastAsia="方正仿宋简体" w:cs="方正仿宋简体"/>
          <w:sz w:val="30"/>
          <w:szCs w:val="30"/>
        </w:rPr>
        <w:fldChar w:fldCharType="end"/>
      </w:r>
      <w:r>
        <w:rPr>
          <w:rFonts w:hint="eastAsia" w:ascii="方正仿宋简体" w:hAnsi="方正仿宋简体" w:eastAsia="方正仿宋简体" w:cs="方正仿宋简体"/>
          <w:sz w:val="30"/>
          <w:szCs w:val="30"/>
        </w:rPr>
        <w:fldChar w:fldCharType="end"/>
      </w:r>
    </w:p>
    <w:p>
      <w:pPr>
        <w:pStyle w:val="18"/>
        <w:tabs>
          <w:tab w:val="right" w:leader="dot" w:pos="8306"/>
        </w:tabs>
        <w:spacing w:before="156" w:line="560" w:lineRule="exact"/>
        <w:ind w:left="210"/>
        <w:rPr>
          <w:rFonts w:ascii="方正仿宋简体" w:hAnsi="方正仿宋简体" w:eastAsia="方正仿宋简体" w:cs="方正仿宋简体"/>
          <w:sz w:val="30"/>
          <w:szCs w:val="30"/>
        </w:rPr>
      </w:pPr>
      <w:r>
        <w:fldChar w:fldCharType="begin"/>
      </w:r>
      <w:r>
        <w:instrText xml:space="preserve"> HYPERLINK \l "_Toc519948926" </w:instrText>
      </w:r>
      <w:r>
        <w:fldChar w:fldCharType="separate"/>
      </w:r>
      <w:r>
        <w:rPr>
          <w:rFonts w:hint="eastAsia" w:ascii="方正仿宋简体" w:hAnsi="方正仿宋简体" w:eastAsia="方正仿宋简体" w:cs="方正仿宋简体"/>
          <w:sz w:val="30"/>
          <w:szCs w:val="30"/>
        </w:rPr>
        <w:t>（二） 做市商可以参与连续竞价股票交易</w:t>
      </w:r>
      <w:r>
        <w:rPr>
          <w:rFonts w:hint="eastAsia" w:ascii="方正仿宋简体" w:hAnsi="方正仿宋简体" w:eastAsia="方正仿宋简体" w:cs="方正仿宋简体"/>
          <w:sz w:val="30"/>
          <w:szCs w:val="30"/>
        </w:rPr>
        <w:tab/>
      </w: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PAGEREF _Toc519948926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2</w:t>
      </w:r>
      <w:r>
        <w:rPr>
          <w:rFonts w:hint="eastAsia" w:ascii="方正仿宋简体" w:hAnsi="方正仿宋简体" w:eastAsia="方正仿宋简体" w:cs="方正仿宋简体"/>
          <w:sz w:val="30"/>
          <w:szCs w:val="30"/>
        </w:rPr>
        <w:fldChar w:fldCharType="end"/>
      </w:r>
      <w:r>
        <w:rPr>
          <w:rFonts w:hint="eastAsia" w:ascii="方正仿宋简体" w:hAnsi="方正仿宋简体" w:eastAsia="方正仿宋简体" w:cs="方正仿宋简体"/>
          <w:sz w:val="30"/>
          <w:szCs w:val="30"/>
        </w:rPr>
        <w:fldChar w:fldCharType="end"/>
      </w:r>
    </w:p>
    <w:p>
      <w:pPr>
        <w:pStyle w:val="16"/>
        <w:tabs>
          <w:tab w:val="right" w:leader="dot" w:pos="8306"/>
        </w:tabs>
        <w:spacing w:before="156" w:line="560" w:lineRule="exact"/>
        <w:rPr>
          <w:rFonts w:ascii="方正仿宋简体" w:hAnsi="方正仿宋简体" w:eastAsia="方正仿宋简体" w:cs="方正仿宋简体"/>
          <w:sz w:val="30"/>
          <w:szCs w:val="30"/>
        </w:rPr>
      </w:pPr>
      <w:r>
        <w:fldChar w:fldCharType="begin"/>
      </w:r>
      <w:r>
        <w:instrText xml:space="preserve"> HYPERLINK \l "_Toc589617471" </w:instrText>
      </w:r>
      <w:r>
        <w:fldChar w:fldCharType="separate"/>
      </w:r>
      <w:r>
        <w:rPr>
          <w:rFonts w:hint="eastAsia" w:ascii="方正仿宋简体" w:hAnsi="方正仿宋简体" w:eastAsia="方正仿宋简体" w:cs="方正仿宋简体"/>
          <w:sz w:val="30"/>
          <w:szCs w:val="30"/>
        </w:rPr>
        <w:t>四、数据接口规范修订说明</w:t>
      </w:r>
      <w:r>
        <w:rPr>
          <w:rFonts w:hint="eastAsia" w:ascii="方正仿宋简体" w:hAnsi="方正仿宋简体" w:eastAsia="方正仿宋简体" w:cs="方正仿宋简体"/>
          <w:sz w:val="30"/>
          <w:szCs w:val="30"/>
        </w:rPr>
        <w:tab/>
      </w: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PAGEREF _Toc589617471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4</w:t>
      </w:r>
      <w:r>
        <w:rPr>
          <w:rFonts w:hint="eastAsia" w:ascii="方正仿宋简体" w:hAnsi="方正仿宋简体" w:eastAsia="方正仿宋简体" w:cs="方正仿宋简体"/>
          <w:sz w:val="30"/>
          <w:szCs w:val="30"/>
        </w:rPr>
        <w:fldChar w:fldCharType="end"/>
      </w:r>
      <w:r>
        <w:rPr>
          <w:rFonts w:hint="eastAsia" w:ascii="方正仿宋简体" w:hAnsi="方正仿宋简体" w:eastAsia="方正仿宋简体" w:cs="方正仿宋简体"/>
          <w:sz w:val="30"/>
          <w:szCs w:val="30"/>
        </w:rPr>
        <w:fldChar w:fldCharType="end"/>
      </w:r>
    </w:p>
    <w:p>
      <w:pPr>
        <w:pStyle w:val="18"/>
        <w:tabs>
          <w:tab w:val="right" w:leader="dot" w:pos="8306"/>
        </w:tabs>
        <w:spacing w:before="156" w:line="560" w:lineRule="exact"/>
        <w:ind w:left="210"/>
        <w:rPr>
          <w:rFonts w:ascii="方正仿宋简体" w:hAnsi="方正仿宋简体" w:eastAsia="方正仿宋简体" w:cs="方正仿宋简体"/>
          <w:sz w:val="30"/>
          <w:szCs w:val="30"/>
        </w:rPr>
      </w:pPr>
      <w:r>
        <w:fldChar w:fldCharType="begin"/>
      </w:r>
      <w:r>
        <w:instrText xml:space="preserve"> HYPERLINK \l "_Toc1485779676" </w:instrText>
      </w:r>
      <w:r>
        <w:fldChar w:fldCharType="separate"/>
      </w:r>
      <w:r>
        <w:rPr>
          <w:rFonts w:hint="eastAsia" w:ascii="方正仿宋简体" w:hAnsi="方正仿宋简体" w:eastAsia="方正仿宋简体" w:cs="方正仿宋简体"/>
          <w:sz w:val="30"/>
          <w:szCs w:val="30"/>
        </w:rPr>
        <w:t>（一） 证券信息库NQXX.DBF</w:t>
      </w:r>
      <w:r>
        <w:rPr>
          <w:rFonts w:hint="eastAsia" w:ascii="方正仿宋简体" w:hAnsi="方正仿宋简体" w:eastAsia="方正仿宋简体" w:cs="方正仿宋简体"/>
          <w:sz w:val="30"/>
          <w:szCs w:val="30"/>
        </w:rPr>
        <w:tab/>
      </w: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PAGEREF _Toc1485779676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4</w:t>
      </w:r>
      <w:r>
        <w:rPr>
          <w:rFonts w:hint="eastAsia" w:ascii="方正仿宋简体" w:hAnsi="方正仿宋简体" w:eastAsia="方正仿宋简体" w:cs="方正仿宋简体"/>
          <w:sz w:val="30"/>
          <w:szCs w:val="30"/>
        </w:rPr>
        <w:fldChar w:fldCharType="end"/>
      </w:r>
      <w:r>
        <w:rPr>
          <w:rFonts w:hint="eastAsia" w:ascii="方正仿宋简体" w:hAnsi="方正仿宋简体" w:eastAsia="方正仿宋简体" w:cs="方正仿宋简体"/>
          <w:sz w:val="30"/>
          <w:szCs w:val="30"/>
        </w:rPr>
        <w:fldChar w:fldCharType="end"/>
      </w:r>
    </w:p>
    <w:p>
      <w:pPr>
        <w:pStyle w:val="16"/>
        <w:tabs>
          <w:tab w:val="right" w:leader="dot" w:pos="8306"/>
        </w:tabs>
        <w:spacing w:before="156" w:line="560" w:lineRule="exact"/>
        <w:rPr>
          <w:rFonts w:ascii="方正仿宋简体" w:hAnsi="方正仿宋简体" w:eastAsia="方正仿宋简体" w:cs="方正仿宋简体"/>
          <w:sz w:val="30"/>
          <w:szCs w:val="30"/>
        </w:rPr>
      </w:pPr>
      <w:r>
        <w:fldChar w:fldCharType="begin"/>
      </w:r>
      <w:r>
        <w:instrText xml:space="preserve"> HYPERLINK \l "_Toc294243230" </w:instrText>
      </w:r>
      <w:r>
        <w:fldChar w:fldCharType="separate"/>
      </w:r>
      <w:r>
        <w:rPr>
          <w:rFonts w:hint="eastAsia" w:ascii="方正仿宋简体" w:hAnsi="方正仿宋简体" w:eastAsia="方正仿宋简体" w:cs="方正仿宋简体"/>
          <w:sz w:val="30"/>
          <w:szCs w:val="30"/>
        </w:rPr>
        <w:t>五、清算交收与税费标准</w:t>
      </w:r>
      <w:r>
        <w:rPr>
          <w:rFonts w:hint="eastAsia" w:ascii="方正仿宋简体" w:hAnsi="方正仿宋简体" w:eastAsia="方正仿宋简体" w:cs="方正仿宋简体"/>
          <w:sz w:val="30"/>
          <w:szCs w:val="30"/>
        </w:rPr>
        <w:tab/>
      </w: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PAGEREF _Toc294243230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4</w:t>
      </w:r>
      <w:r>
        <w:rPr>
          <w:rFonts w:hint="eastAsia" w:ascii="方正仿宋简体" w:hAnsi="方正仿宋简体" w:eastAsia="方正仿宋简体" w:cs="方正仿宋简体"/>
          <w:sz w:val="30"/>
          <w:szCs w:val="30"/>
        </w:rPr>
        <w:fldChar w:fldCharType="end"/>
      </w:r>
      <w:r>
        <w:rPr>
          <w:rFonts w:hint="eastAsia" w:ascii="方正仿宋简体" w:hAnsi="方正仿宋简体" w:eastAsia="方正仿宋简体" w:cs="方正仿宋简体"/>
          <w:sz w:val="30"/>
          <w:szCs w:val="30"/>
        </w:rPr>
        <w:fldChar w:fldCharType="end"/>
      </w:r>
    </w:p>
    <w:p>
      <w:pPr>
        <w:pStyle w:val="16"/>
        <w:tabs>
          <w:tab w:val="right" w:leader="dot" w:pos="8306"/>
        </w:tabs>
        <w:spacing w:before="156" w:line="560" w:lineRule="exact"/>
        <w:rPr>
          <w:rFonts w:ascii="方正仿宋简体" w:hAnsi="方正仿宋简体" w:eastAsia="方正仿宋简体" w:cs="方正仿宋简体"/>
          <w:sz w:val="30"/>
          <w:szCs w:val="30"/>
        </w:rPr>
      </w:pPr>
      <w:r>
        <w:fldChar w:fldCharType="begin"/>
      </w:r>
      <w:r>
        <w:instrText xml:space="preserve"> HYPERLINK \l "_Toc1177484097" </w:instrText>
      </w:r>
      <w:r>
        <w:fldChar w:fldCharType="separate"/>
      </w:r>
      <w:r>
        <w:rPr>
          <w:rFonts w:hint="eastAsia" w:ascii="方正仿宋简体" w:hAnsi="方正仿宋简体" w:eastAsia="方正仿宋简体" w:cs="方正仿宋简体"/>
          <w:sz w:val="30"/>
          <w:szCs w:val="30"/>
        </w:rPr>
        <w:t>六、市场参与者技术系统注意事项</w:t>
      </w:r>
      <w:r>
        <w:rPr>
          <w:rFonts w:hint="eastAsia" w:ascii="方正仿宋简体" w:hAnsi="方正仿宋简体" w:eastAsia="方正仿宋简体" w:cs="方正仿宋简体"/>
          <w:sz w:val="30"/>
          <w:szCs w:val="30"/>
        </w:rPr>
        <w:tab/>
      </w: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PAGEREF _Toc1177484097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4</w:t>
      </w:r>
      <w:r>
        <w:rPr>
          <w:rFonts w:hint="eastAsia" w:ascii="方正仿宋简体" w:hAnsi="方正仿宋简体" w:eastAsia="方正仿宋简体" w:cs="方正仿宋简体"/>
          <w:sz w:val="30"/>
          <w:szCs w:val="30"/>
        </w:rPr>
        <w:fldChar w:fldCharType="end"/>
      </w:r>
      <w:r>
        <w:rPr>
          <w:rFonts w:hint="eastAsia" w:ascii="方正仿宋简体" w:hAnsi="方正仿宋简体" w:eastAsia="方正仿宋简体" w:cs="方正仿宋简体"/>
          <w:sz w:val="30"/>
          <w:szCs w:val="30"/>
        </w:rPr>
        <w:fldChar w:fldCharType="end"/>
      </w:r>
    </w:p>
    <w:p>
      <w:pPr>
        <w:pStyle w:val="16"/>
        <w:tabs>
          <w:tab w:val="right" w:leader="dot" w:pos="8306"/>
        </w:tabs>
        <w:spacing w:before="156" w:line="560" w:lineRule="exact"/>
        <w:rPr>
          <w:rFonts w:ascii="方正仿宋简体" w:hAnsi="方正仿宋简体" w:eastAsia="方正仿宋简体" w:cs="方正仿宋简体"/>
          <w:sz w:val="30"/>
          <w:szCs w:val="30"/>
        </w:rPr>
      </w:pPr>
      <w:r>
        <w:fldChar w:fldCharType="begin"/>
      </w:r>
      <w:r>
        <w:instrText xml:space="preserve"> HYPERLINK \l "_Toc1912463930" </w:instrText>
      </w:r>
      <w:r>
        <w:fldChar w:fldCharType="separate"/>
      </w:r>
      <w:r>
        <w:rPr>
          <w:rFonts w:hint="eastAsia" w:ascii="方正仿宋简体" w:hAnsi="方正仿宋简体" w:eastAsia="方正仿宋简体" w:cs="方正仿宋简体"/>
          <w:sz w:val="30"/>
          <w:szCs w:val="30"/>
        </w:rPr>
        <w:t>七、联系方式</w:t>
      </w:r>
      <w:r>
        <w:rPr>
          <w:rFonts w:hint="eastAsia" w:ascii="方正仿宋简体" w:hAnsi="方正仿宋简体" w:eastAsia="方正仿宋简体" w:cs="方正仿宋简体"/>
          <w:sz w:val="30"/>
          <w:szCs w:val="30"/>
        </w:rPr>
        <w:tab/>
      </w: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PAGEREF _Toc1912463930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5</w:t>
      </w:r>
      <w:r>
        <w:rPr>
          <w:rFonts w:hint="eastAsia" w:ascii="方正仿宋简体" w:hAnsi="方正仿宋简体" w:eastAsia="方正仿宋简体" w:cs="方正仿宋简体"/>
          <w:sz w:val="30"/>
          <w:szCs w:val="30"/>
        </w:rPr>
        <w:fldChar w:fldCharType="end"/>
      </w:r>
      <w:r>
        <w:rPr>
          <w:rFonts w:hint="eastAsia" w:ascii="方正仿宋简体" w:hAnsi="方正仿宋简体" w:eastAsia="方正仿宋简体" w:cs="方正仿宋简体"/>
          <w:sz w:val="30"/>
          <w:szCs w:val="30"/>
        </w:rPr>
        <w:fldChar w:fldCharType="end"/>
      </w:r>
    </w:p>
    <w:p>
      <w:pPr>
        <w:pStyle w:val="16"/>
        <w:tabs>
          <w:tab w:val="left" w:pos="1050"/>
          <w:tab w:val="right" w:leader="dot" w:pos="8296"/>
        </w:tabs>
        <w:spacing w:before="156" w:line="560" w:lineRule="exact"/>
        <w:ind w:firstLine="643"/>
        <w:rPr>
          <w:rFonts w:ascii="Times New Roman" w:hAnsi="Times New Roman" w:eastAsia="方正仿宋简体"/>
          <w:b/>
          <w:color w:val="000000" w:themeColor="text1"/>
          <w:sz w:val="32"/>
          <w:szCs w:val="32"/>
          <w14:textFill>
            <w14:solidFill>
              <w14:schemeClr w14:val="tx1"/>
            </w14:solidFill>
          </w14:textFill>
        </w:rPr>
        <w:sectPr>
          <w:pgSz w:w="11906" w:h="16838"/>
          <w:pgMar w:top="1440" w:right="1800" w:bottom="1440" w:left="1800" w:header="851" w:footer="992" w:gutter="0"/>
          <w:pgNumType w:fmt="upperRoman"/>
          <w:cols w:space="425" w:num="1"/>
          <w:docGrid w:type="lines" w:linePitch="312" w:charSpace="0"/>
        </w:sectPr>
      </w:pPr>
      <w:r>
        <w:rPr>
          <w:rFonts w:hint="eastAsia" w:ascii="方正仿宋简体" w:hAnsi="方正仿宋简体" w:eastAsia="方正仿宋简体" w:cs="方正仿宋简体"/>
          <w:color w:val="000000" w:themeColor="text1"/>
          <w:sz w:val="30"/>
          <w:szCs w:val="30"/>
          <w14:textFill>
            <w14:solidFill>
              <w14:schemeClr w14:val="tx1"/>
            </w14:solidFill>
          </w14:textFill>
        </w:rPr>
        <w:fldChar w:fldCharType="end"/>
      </w:r>
    </w:p>
    <w:p>
      <w:pPr>
        <w:pStyle w:val="2"/>
        <w:spacing w:before="0" w:beforeLines="0" w:after="0" w:line="560" w:lineRule="exact"/>
        <w:ind w:firstLine="600" w:firstLineChars="200"/>
        <w:rPr>
          <w:rFonts w:ascii="Times New Roman" w:hAnsi="Times New Roman" w:eastAsia="黑体" w:cs="Times New Roman"/>
          <w:b w:val="0"/>
          <w:color w:val="000000" w:themeColor="text1"/>
          <w:sz w:val="30"/>
          <w:szCs w:val="30"/>
          <w14:textFill>
            <w14:solidFill>
              <w14:schemeClr w14:val="tx1"/>
            </w14:solidFill>
          </w14:textFill>
        </w:rPr>
      </w:pPr>
      <w:bookmarkStart w:id="1" w:name="_Toc43462274"/>
      <w:bookmarkStart w:id="2" w:name="_Toc1779433007"/>
      <w:bookmarkStart w:id="3" w:name="_Toc25220"/>
      <w:r>
        <w:rPr>
          <w:rFonts w:hint="eastAsia" w:ascii="Times New Roman" w:hAnsi="Times New Roman" w:eastAsia="黑体" w:cs="Times New Roman"/>
          <w:b w:val="0"/>
          <w:color w:val="000000" w:themeColor="text1"/>
          <w:sz w:val="30"/>
          <w:szCs w:val="30"/>
          <w14:textFill>
            <w14:solidFill>
              <w14:schemeClr w14:val="tx1"/>
            </w14:solidFill>
          </w14:textFill>
        </w:rPr>
        <w:t>一、说明</w:t>
      </w:r>
      <w:bookmarkEnd w:id="1"/>
      <w:bookmarkEnd w:id="2"/>
      <w:bookmarkEnd w:id="3"/>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lang w:val="en-GB"/>
          <w14:textFill>
            <w14:solidFill>
              <w14:schemeClr w14:val="tx1"/>
            </w14:solidFill>
          </w14:textFill>
        </w:rPr>
        <w:t>为便于各市场参与者更好地理解</w:t>
      </w:r>
      <w:r>
        <w:rPr>
          <w:rFonts w:hint="eastAsia" w:ascii="方正仿宋简体" w:hAnsi="方正仿宋简体" w:eastAsia="方正仿宋简体" w:cs="方正仿宋简体"/>
          <w:color w:val="000000" w:themeColor="text1"/>
          <w:sz w:val="30"/>
          <w:szCs w:val="30"/>
          <w14:textFill>
            <w14:solidFill>
              <w14:schemeClr w14:val="tx1"/>
            </w14:solidFill>
          </w14:textFill>
        </w:rPr>
        <w:t>北京证券交易所（以下简称“本所”或“北交所”）股票</w:t>
      </w:r>
      <w:r>
        <w:rPr>
          <w:rFonts w:hint="eastAsia" w:ascii="方正仿宋简体" w:hAnsi="方正仿宋简体" w:eastAsia="方正仿宋简体" w:cs="方正仿宋简体"/>
          <w:color w:val="000000" w:themeColor="text1"/>
          <w:sz w:val="30"/>
          <w:szCs w:val="30"/>
          <w:lang w:val="en-GB"/>
          <w14:textFill>
            <w14:solidFill>
              <w14:schemeClr w14:val="tx1"/>
            </w14:solidFill>
          </w14:textFill>
        </w:rPr>
        <w:t>做市交易业务对相关技术系统的改造要求，做好技术系统的准备工作，</w:t>
      </w:r>
      <w:r>
        <w:rPr>
          <w:rFonts w:hint="eastAsia" w:ascii="方正仿宋简体" w:hAnsi="方正仿宋简体" w:eastAsia="方正仿宋简体" w:cs="方正仿宋简体"/>
          <w:sz w:val="30"/>
          <w:szCs w:val="30"/>
        </w:rPr>
        <w:t>本所</w:t>
      </w:r>
      <w:r>
        <w:rPr>
          <w:rFonts w:hint="eastAsia" w:ascii="Times New Roman" w:hAnsi="Times New Roman" w:eastAsia="方正仿宋简体"/>
          <w:sz w:val="30"/>
          <w:szCs w:val="30"/>
        </w:rPr>
        <w:t>对北交所做市</w:t>
      </w:r>
      <w:r>
        <w:rPr>
          <w:rFonts w:ascii="Times New Roman" w:hAnsi="Times New Roman" w:eastAsia="方正仿宋简体"/>
          <w:sz w:val="30"/>
          <w:szCs w:val="30"/>
        </w:rPr>
        <w:t>交易业务</w:t>
      </w:r>
      <w:r>
        <w:rPr>
          <w:rFonts w:hint="eastAsia" w:ascii="Times New Roman" w:hAnsi="Times New Roman" w:eastAsia="方正仿宋简体"/>
          <w:sz w:val="30"/>
          <w:szCs w:val="30"/>
        </w:rPr>
        <w:t>相关技术文档进行修订，形成本指南并发布</w:t>
      </w:r>
      <w:r>
        <w:rPr>
          <w:rFonts w:hint="eastAsia" w:ascii="方正仿宋简体" w:hAnsi="方正仿宋简体" w:eastAsia="方正仿宋简体" w:cs="方正仿宋简体"/>
          <w:color w:val="000000" w:themeColor="text1"/>
          <w:sz w:val="30"/>
          <w:szCs w:val="30"/>
          <w14:textFill>
            <w14:solidFill>
              <w14:schemeClr w14:val="tx1"/>
            </w14:solidFill>
          </w14:textFill>
        </w:rPr>
        <w:t>。</w:t>
      </w:r>
      <w:r>
        <w:rPr>
          <w:rFonts w:hint="eastAsia" w:ascii="方正仿宋简体" w:hAnsi="方正仿宋简体" w:eastAsia="方正仿宋简体" w:cs="方正仿宋简体"/>
          <w:color w:val="000000" w:themeColor="text1"/>
          <w:sz w:val="30"/>
          <w:szCs w:val="30"/>
          <w:lang w:val="en-GB"/>
          <w14:textFill>
            <w14:solidFill>
              <w14:schemeClr w14:val="tx1"/>
            </w14:solidFill>
          </w14:textFill>
        </w:rPr>
        <w:t>本指南包括业务申报、行情发送、信息发送等方面的内容，清算、交收方面的内容由中国证券登记结算有限责任公司另行发布。</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本次变更参考技术文档为《交易支持平台数据接口规范（V2.1）》（以下简称“数据接口规范”），未涉及内容请参考现有业务实施规则、细则和制度。</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特别提示：如果业务规则、细则及业务方案有所变更，本文档将做相应变更。</w:t>
      </w:r>
    </w:p>
    <w:p>
      <w:pPr>
        <w:pStyle w:val="2"/>
        <w:spacing w:before="0" w:beforeLines="0" w:after="0" w:line="560" w:lineRule="exact"/>
        <w:ind w:firstLine="600" w:firstLineChars="200"/>
        <w:rPr>
          <w:rFonts w:ascii="Times New Roman" w:hAnsi="Times New Roman" w:eastAsia="黑体" w:cs="Times New Roman"/>
          <w:b w:val="0"/>
          <w:color w:val="000000" w:themeColor="text1"/>
          <w:sz w:val="30"/>
          <w:szCs w:val="30"/>
          <w14:textFill>
            <w14:solidFill>
              <w14:schemeClr w14:val="tx1"/>
            </w14:solidFill>
          </w14:textFill>
        </w:rPr>
      </w:pPr>
      <w:bookmarkStart w:id="4" w:name="_Toc1826143267"/>
      <w:bookmarkStart w:id="5" w:name="_Toc43462275"/>
      <w:bookmarkStart w:id="6" w:name="_Toc17573"/>
      <w:r>
        <w:rPr>
          <w:rFonts w:hint="eastAsia" w:ascii="Times New Roman" w:hAnsi="Times New Roman" w:eastAsia="黑体" w:cs="Times New Roman"/>
          <w:b w:val="0"/>
          <w:color w:val="000000" w:themeColor="text1"/>
          <w:sz w:val="30"/>
          <w:szCs w:val="30"/>
          <w14:textFill>
            <w14:solidFill>
              <w14:schemeClr w14:val="tx1"/>
            </w14:solidFill>
          </w14:textFill>
        </w:rPr>
        <w:t>二、</w:t>
      </w:r>
      <w:bookmarkStart w:id="7" w:name="_Toc426966744"/>
      <w:r>
        <w:rPr>
          <w:rFonts w:hint="eastAsia" w:ascii="Times New Roman" w:hAnsi="Times New Roman" w:eastAsia="黑体" w:cs="Times New Roman"/>
          <w:b w:val="0"/>
          <w:color w:val="000000" w:themeColor="text1"/>
          <w:sz w:val="30"/>
          <w:szCs w:val="30"/>
          <w14:textFill>
            <w14:solidFill>
              <w14:schemeClr w14:val="tx1"/>
            </w14:solidFill>
          </w14:textFill>
        </w:rPr>
        <w:t>参考文档</w:t>
      </w:r>
      <w:bookmarkEnd w:id="4"/>
      <w:bookmarkEnd w:id="5"/>
      <w:bookmarkEnd w:id="6"/>
      <w:bookmarkEnd w:id="7"/>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《交易支持平台数据接口规范（V2.1）》</w:t>
      </w:r>
    </w:p>
    <w:p>
      <w:pPr>
        <w:pStyle w:val="2"/>
        <w:spacing w:before="0" w:beforeLines="0" w:after="0" w:line="560" w:lineRule="exact"/>
        <w:ind w:firstLine="600" w:firstLineChars="200"/>
        <w:rPr>
          <w:rFonts w:ascii="Times New Roman" w:hAnsi="Times New Roman" w:eastAsia="黑体" w:cs="Times New Roman"/>
          <w:b w:val="0"/>
          <w:color w:val="000000" w:themeColor="text1"/>
          <w:sz w:val="30"/>
          <w:szCs w:val="30"/>
          <w14:textFill>
            <w14:solidFill>
              <w14:schemeClr w14:val="tx1"/>
            </w14:solidFill>
          </w14:textFill>
        </w:rPr>
      </w:pPr>
      <w:bookmarkStart w:id="8" w:name="_Toc426966745"/>
      <w:bookmarkStart w:id="9" w:name="_Toc30227"/>
      <w:bookmarkStart w:id="10" w:name="_Toc43462276"/>
      <w:bookmarkStart w:id="11" w:name="_Toc2017981558"/>
      <w:r>
        <w:rPr>
          <w:rFonts w:hint="eastAsia" w:ascii="Times New Roman" w:hAnsi="Times New Roman" w:eastAsia="黑体" w:cs="Times New Roman"/>
          <w:b w:val="0"/>
          <w:color w:val="000000" w:themeColor="text1"/>
          <w:sz w:val="30"/>
          <w:szCs w:val="30"/>
          <w14:textFill>
            <w14:solidFill>
              <w14:schemeClr w14:val="tx1"/>
            </w14:solidFill>
          </w14:textFill>
        </w:rPr>
        <w:t>三、</w:t>
      </w:r>
      <w:bookmarkEnd w:id="8"/>
      <w:r>
        <w:rPr>
          <w:rFonts w:hint="eastAsia" w:ascii="Times New Roman" w:hAnsi="Times New Roman" w:eastAsia="黑体" w:cs="Times New Roman"/>
          <w:b w:val="0"/>
          <w:color w:val="000000" w:themeColor="text1"/>
          <w:sz w:val="30"/>
          <w:szCs w:val="30"/>
          <w14:textFill>
            <w14:solidFill>
              <w14:schemeClr w14:val="tx1"/>
            </w14:solidFill>
          </w14:textFill>
        </w:rPr>
        <w:t>变动简述</w:t>
      </w:r>
      <w:bookmarkEnd w:id="9"/>
      <w:bookmarkEnd w:id="10"/>
      <w:bookmarkEnd w:id="11"/>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做市商可以使用做市专用证券账户参与公开发行业务、参与北交所上市公司股票的交易。本次修改内容如下：</w:t>
      </w:r>
    </w:p>
    <w:p>
      <w:pPr>
        <w:pStyle w:val="35"/>
        <w:numPr>
          <w:ilvl w:val="0"/>
          <w:numId w:val="6"/>
        </w:numPr>
        <w:spacing w:before="0" w:beforeLines="0" w:line="560" w:lineRule="exact"/>
        <w:ind w:left="0" w:firstLine="602" w:firstLineChars="200"/>
        <w:rPr>
          <w:rFonts w:ascii="Times New Roman" w:hAnsi="Times New Roman" w:eastAsia="楷体" w:cs="Times New Roman"/>
          <w:color w:val="000000" w:themeColor="text1"/>
          <w:sz w:val="30"/>
          <w:szCs w:val="30"/>
          <w14:textFill>
            <w14:solidFill>
              <w14:schemeClr w14:val="tx1"/>
            </w14:solidFill>
          </w14:textFill>
        </w:rPr>
      </w:pPr>
      <w:bookmarkStart w:id="12" w:name="_Toc24137"/>
      <w:bookmarkStart w:id="13" w:name="_Toc1540518519"/>
      <w:bookmarkStart w:id="14" w:name="_Toc43462277"/>
      <w:r>
        <w:rPr>
          <w:rFonts w:hint="eastAsia" w:ascii="Times New Roman" w:hAnsi="Times New Roman" w:eastAsia="楷体" w:cs="Times New Roman"/>
          <w:color w:val="000000" w:themeColor="text1"/>
          <w:sz w:val="30"/>
          <w:szCs w:val="30"/>
          <w14:textFill>
            <w14:solidFill>
              <w14:schemeClr w14:val="tx1"/>
            </w14:solidFill>
          </w14:textFill>
        </w:rPr>
        <w:t>做市商可以参与公开发行业务</w:t>
      </w:r>
      <w:bookmarkEnd w:id="12"/>
      <w:bookmarkEnd w:id="13"/>
      <w:bookmarkEnd w:id="14"/>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做市商可以以网下投资者的身份参与询价，询价与申购的要求与其他网下投资者的要求一致。</w:t>
      </w:r>
    </w:p>
    <w:p>
      <w:pPr>
        <w:spacing w:beforeLines="0" w:line="560" w:lineRule="exact"/>
        <w:ind w:firstLine="600" w:firstLineChars="200"/>
        <w:jc w:val="both"/>
        <w:rPr>
          <w:rFonts w:ascii="方正仿宋简体" w:hAnsi="方正仿宋简体" w:eastAsia="方正仿宋简体" w:cs="方正仿宋简体"/>
          <w:sz w:val="30"/>
          <w:szCs w:val="30"/>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做市商可以以网上投资者的身份直接参与申购，申购的要求与其他网上投资者的要求一致。</w:t>
      </w:r>
      <w:bookmarkStart w:id="15" w:name="_Toc22736345"/>
      <w:bookmarkEnd w:id="15"/>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sz w:val="30"/>
          <w:szCs w:val="30"/>
        </w:rPr>
        <w:t>做市商不能参与战略配售。</w:t>
      </w:r>
    </w:p>
    <w:p>
      <w:pPr>
        <w:pStyle w:val="35"/>
        <w:numPr>
          <w:ilvl w:val="0"/>
          <w:numId w:val="6"/>
        </w:numPr>
        <w:spacing w:before="0" w:beforeLines="0" w:line="560" w:lineRule="exact"/>
        <w:ind w:left="0" w:firstLine="602" w:firstLineChars="200"/>
        <w:rPr>
          <w:rFonts w:ascii="Times New Roman" w:hAnsi="Times New Roman" w:eastAsia="楷体" w:cs="Times New Roman"/>
          <w:color w:val="000000" w:themeColor="text1"/>
          <w:sz w:val="30"/>
          <w:szCs w:val="30"/>
          <w14:textFill>
            <w14:solidFill>
              <w14:schemeClr w14:val="tx1"/>
            </w14:solidFill>
          </w14:textFill>
        </w:rPr>
      </w:pPr>
      <w:bookmarkStart w:id="16" w:name="_Toc519948926"/>
      <w:bookmarkStart w:id="17" w:name="_Toc25688"/>
      <w:r>
        <w:rPr>
          <w:rFonts w:hint="eastAsia" w:ascii="Times New Roman" w:hAnsi="Times New Roman" w:eastAsia="楷体" w:cs="Times New Roman"/>
          <w:color w:val="000000" w:themeColor="text1"/>
          <w:sz w:val="30"/>
          <w:szCs w:val="30"/>
          <w14:textFill>
            <w14:solidFill>
              <w14:schemeClr w14:val="tx1"/>
            </w14:solidFill>
          </w14:textFill>
        </w:rPr>
        <w:t>做市商可以参与连续竞价股票交易</w:t>
      </w:r>
      <w:bookmarkEnd w:id="16"/>
      <w:bookmarkEnd w:id="17"/>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做市商可以参与北交所上市公司股票交易，并履行做市报价义务。</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做市商申报业务类别同样为限价申报、市价申报、大宗成交确认申报，不提供做市商间互报成交确认申报。做市商只能交易其已经申请加入做市的股票。</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做市商的单笔申报数量最少为100股，以1股增减，且单边累计申报最低数量应不低于1000股。</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连续竞价阶段，做市商的有效报价价差应不高于2%或2个最小价格变动单位（孰高为准）。开收盘集合竞价阶段，应不高于3%或2个最小价格变动单位（孰高为准）。买卖价差的计算公式为：</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报价价差=（符合最低申报数量的卖出价格-符合最低申报数量的买入价格）/符合最低申报数量的卖出价格*100%</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符合最低申报数量的卖出价格，是指订单簿中做市商的卖出申报按价格由低到高进行排列，累计申报数量达到做市商最低申报数量所对应的卖出价格。</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符合最低申报数量的买入价格，是指订单簿中做市商的买入申报按价格由高到低进行排列，累计申报数量达到做市商最低申报数量所对应的买入价格。</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做市商参与开盘集合竞价，应当于</w:t>
      </w:r>
      <w:r>
        <w:rPr>
          <w:rFonts w:ascii="方正仿宋简体" w:hAnsi="方正仿宋简体" w:eastAsia="方正仿宋简体" w:cs="方正仿宋简体"/>
          <w:color w:val="000000" w:themeColor="text1"/>
          <w:sz w:val="30"/>
          <w:szCs w:val="30"/>
          <w:lang w:val="en"/>
          <w14:textFill>
            <w14:solidFill>
              <w14:schemeClr w14:val="tx1"/>
            </w14:solidFill>
          </w14:textFill>
        </w:rPr>
        <w:t>9:20</w:t>
      </w:r>
      <w:r>
        <w:rPr>
          <w:rFonts w:hint="eastAsia" w:ascii="方正仿宋简体" w:hAnsi="方正仿宋简体" w:eastAsia="方正仿宋简体" w:cs="方正仿宋简体"/>
          <w:color w:val="000000" w:themeColor="text1"/>
          <w:sz w:val="30"/>
          <w:szCs w:val="30"/>
          <w14:textFill>
            <w14:solidFill>
              <w14:schemeClr w14:val="tx1"/>
            </w14:solidFill>
          </w14:textFill>
        </w:rPr>
        <w:t>前发布有效报价。开盘集合竞价时段，做市商有效报价参与次数应当不少于该只股票每月可交易天数的50%；</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做市商参与收盘集合竞价，应当于</w:t>
      </w:r>
      <w:r>
        <w:rPr>
          <w:rFonts w:ascii="方正仿宋简体" w:hAnsi="方正仿宋简体" w:eastAsia="方正仿宋简体" w:cs="方正仿宋简体"/>
          <w:color w:val="000000" w:themeColor="text1"/>
          <w:sz w:val="30"/>
          <w:szCs w:val="30"/>
          <w:lang w:val="en"/>
          <w14:textFill>
            <w14:solidFill>
              <w14:schemeClr w14:val="tx1"/>
            </w14:solidFill>
          </w14:textFill>
        </w:rPr>
        <w:t>14:58</w:t>
      </w:r>
      <w:r>
        <w:rPr>
          <w:rFonts w:hint="eastAsia" w:ascii="方正仿宋简体" w:hAnsi="方正仿宋简体" w:eastAsia="方正仿宋简体" w:cs="方正仿宋简体"/>
          <w:color w:val="000000" w:themeColor="text1"/>
          <w:sz w:val="30"/>
          <w:szCs w:val="30"/>
          <w14:textFill>
            <w14:solidFill>
              <w14:schemeClr w14:val="tx1"/>
            </w14:solidFill>
          </w14:textFill>
        </w:rPr>
        <w:t>前发布有效报价。收盘集合竞价时段，做市商有效报价参与次数应当不少于该只股票每月可交易天数的70%；</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连续竞价阶段，做市报价时长应当不低于连续竞价交易时间的90%。做市商成交后报价不符合有效报价要求，但在2分钟内恢复有效报价的，补充报价时间计入有效报价时长。</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做市商日内回转交易可按本所要求配置。开启盘中回转交易时，盘中（包括限价及市价申报）买入的股票当日可以卖出；开启盘后回转交易时，盘后（包括全天大宗申报）买入的股票当日可以卖出，交易系统不做回转额度及次数限制；关闭盘中回转交易时，盘中（包括限价及市价申报）买入的股票当日不可卖出；关闭盘后回转交易时，盘后（包括全天大宗申报）买入的股票当日不可卖出。</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对于连续竞价股票，做市商接收到的行情和普通投资者完全相同，不提供其他额外行情。</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做市商参与连续竞价业务的申报不提供替换撤单。</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通过证券信息库的做市商数量字段揭示当前交易日为该只证券做市的做市商数量。</w:t>
      </w:r>
      <w:bookmarkStart w:id="18" w:name="_Toc11319537"/>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证券行情的发布方式和频率不变，做市商的报价及成交与其他投资者的报价及成交统一计算。</w:t>
      </w:r>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交易公开信息的发布方式不变，做市商的报价及成交与其他投资者的报价及成交统一计算。</w:t>
      </w:r>
    </w:p>
    <w:bookmarkEnd w:id="18"/>
    <w:p>
      <w:pPr>
        <w:pStyle w:val="2"/>
        <w:spacing w:before="0" w:beforeLines="0" w:after="0" w:line="560" w:lineRule="exact"/>
        <w:ind w:firstLine="600" w:firstLineChars="200"/>
        <w:rPr>
          <w:rFonts w:ascii="Times New Roman" w:hAnsi="Times New Roman" w:eastAsia="黑体" w:cs="Times New Roman"/>
          <w:b w:val="0"/>
          <w:color w:val="000000" w:themeColor="text1"/>
          <w:sz w:val="30"/>
          <w:szCs w:val="30"/>
          <w14:textFill>
            <w14:solidFill>
              <w14:schemeClr w14:val="tx1"/>
            </w14:solidFill>
          </w14:textFill>
        </w:rPr>
      </w:pPr>
      <w:bookmarkStart w:id="19" w:name="_Toc22869"/>
      <w:bookmarkStart w:id="20" w:name="_Toc43462281"/>
      <w:bookmarkStart w:id="21" w:name="_Toc589617471"/>
      <w:r>
        <w:rPr>
          <w:rFonts w:hint="eastAsia" w:ascii="Times New Roman" w:hAnsi="Times New Roman" w:eastAsia="黑体" w:cs="Times New Roman"/>
          <w:b w:val="0"/>
          <w:color w:val="000000" w:themeColor="text1"/>
          <w:sz w:val="30"/>
          <w:szCs w:val="30"/>
          <w14:textFill>
            <w14:solidFill>
              <w14:schemeClr w14:val="tx1"/>
            </w14:solidFill>
          </w14:textFill>
        </w:rPr>
        <w:t>四、数据接口规范修订说明</w:t>
      </w:r>
      <w:bookmarkEnd w:id="19"/>
      <w:bookmarkEnd w:id="20"/>
      <w:bookmarkEnd w:id="21"/>
    </w:p>
    <w:p>
      <w:pPr>
        <w:pStyle w:val="35"/>
        <w:numPr>
          <w:ilvl w:val="0"/>
          <w:numId w:val="7"/>
        </w:numPr>
        <w:spacing w:before="0" w:beforeLines="0" w:line="560" w:lineRule="exact"/>
        <w:rPr>
          <w:rFonts w:ascii="Times New Roman" w:hAnsi="Times New Roman" w:eastAsia="楷体" w:cs="Times New Roman"/>
          <w:color w:val="000000" w:themeColor="text1"/>
          <w:sz w:val="30"/>
          <w:szCs w:val="30"/>
          <w14:textFill>
            <w14:solidFill>
              <w14:schemeClr w14:val="tx1"/>
            </w14:solidFill>
          </w14:textFill>
        </w:rPr>
      </w:pPr>
      <w:bookmarkStart w:id="22" w:name="_Toc43462282"/>
      <w:bookmarkStart w:id="23" w:name="_Toc1485779676"/>
      <w:bookmarkStart w:id="24" w:name="_Toc15698"/>
      <w:r>
        <w:rPr>
          <w:rFonts w:hint="eastAsia" w:ascii="Times New Roman" w:hAnsi="Times New Roman" w:eastAsia="楷体" w:cs="Times New Roman"/>
          <w:color w:val="000000" w:themeColor="text1"/>
          <w:sz w:val="30"/>
          <w:szCs w:val="30"/>
          <w14:textFill>
            <w14:solidFill>
              <w14:schemeClr w14:val="tx1"/>
            </w14:solidFill>
          </w14:textFill>
        </w:rPr>
        <w:t>证券信息库NQXX.DBF</w:t>
      </w:r>
      <w:bookmarkEnd w:id="22"/>
      <w:bookmarkEnd w:id="23"/>
      <w:bookmarkEnd w:id="24"/>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对于连续竞价股票，启用做市商数量，通过</w:t>
      </w:r>
      <w:r>
        <w:rPr>
          <w:rFonts w:hint="eastAsia" w:ascii="方正仿宋简体" w:hAnsi="方正仿宋简体" w:eastAsia="方正仿宋简体" w:cs="方正仿宋简体"/>
          <w:b/>
          <w:color w:val="000000" w:themeColor="text1"/>
          <w:sz w:val="30"/>
          <w:szCs w:val="30"/>
          <w14:textFill>
            <w14:solidFill>
              <w14:schemeClr w14:val="tx1"/>
            </w14:solidFill>
          </w14:textFill>
        </w:rPr>
        <w:t>XXZSSSL</w:t>
      </w:r>
      <w:r>
        <w:rPr>
          <w:rFonts w:hint="eastAsia" w:ascii="方正仿宋简体" w:hAnsi="方正仿宋简体" w:eastAsia="方正仿宋简体" w:cs="方正仿宋简体"/>
          <w:color w:val="000000" w:themeColor="text1"/>
          <w:sz w:val="30"/>
          <w:szCs w:val="30"/>
          <w14:textFill>
            <w14:solidFill>
              <w14:schemeClr w14:val="tx1"/>
            </w14:solidFill>
          </w14:textFill>
        </w:rPr>
        <w:t xml:space="preserve"> （字段37：做市商数量）识别，用于当前为该只股票做市的做市商数量，值为0时表示该只证券无做市商为其做市。</w:t>
      </w:r>
    </w:p>
    <w:p>
      <w:pPr>
        <w:pStyle w:val="2"/>
        <w:spacing w:before="0" w:beforeLines="0" w:after="0" w:line="560" w:lineRule="exact"/>
        <w:ind w:firstLine="600" w:firstLineChars="200"/>
        <w:rPr>
          <w:rFonts w:ascii="Times New Roman" w:hAnsi="Times New Roman" w:eastAsia="黑体" w:cs="Times New Roman"/>
          <w:b w:val="0"/>
          <w:color w:val="000000" w:themeColor="text1"/>
          <w:sz w:val="30"/>
          <w:szCs w:val="30"/>
          <w14:textFill>
            <w14:solidFill>
              <w14:schemeClr w14:val="tx1"/>
            </w14:solidFill>
          </w14:textFill>
        </w:rPr>
      </w:pPr>
      <w:bookmarkStart w:id="25" w:name="_Toc43462284"/>
      <w:bookmarkStart w:id="26" w:name="_Toc294243230"/>
      <w:bookmarkStart w:id="27" w:name="_Toc28749"/>
      <w:bookmarkStart w:id="28" w:name="_Toc426966777"/>
      <w:r>
        <w:rPr>
          <w:rFonts w:hint="eastAsia" w:ascii="Times New Roman" w:hAnsi="Times New Roman" w:eastAsia="黑体" w:cs="Times New Roman"/>
          <w:b w:val="0"/>
          <w:color w:val="000000" w:themeColor="text1"/>
          <w:sz w:val="30"/>
          <w:szCs w:val="30"/>
          <w14:textFill>
            <w14:solidFill>
              <w14:schemeClr w14:val="tx1"/>
            </w14:solidFill>
          </w14:textFill>
        </w:rPr>
        <w:t>五、清算交收与税费标准</w:t>
      </w:r>
      <w:bookmarkEnd w:id="25"/>
      <w:bookmarkEnd w:id="26"/>
      <w:bookmarkEnd w:id="27"/>
      <w:bookmarkEnd w:id="28"/>
    </w:p>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中国结算对于北交所做市交易业务的具体规定与要求以中国结算官网发布的文档为准。</w:t>
      </w:r>
    </w:p>
    <w:p>
      <w:pPr>
        <w:pStyle w:val="2"/>
        <w:spacing w:before="0" w:beforeLines="0" w:after="0" w:line="560" w:lineRule="exact"/>
        <w:ind w:firstLine="600" w:firstLineChars="200"/>
        <w:rPr>
          <w:rFonts w:ascii="Times New Roman" w:hAnsi="Times New Roman" w:eastAsia="黑体" w:cs="Times New Roman"/>
          <w:b w:val="0"/>
          <w:color w:val="000000" w:themeColor="text1"/>
          <w:sz w:val="30"/>
          <w:szCs w:val="30"/>
          <w14:textFill>
            <w14:solidFill>
              <w14:schemeClr w14:val="tx1"/>
            </w14:solidFill>
          </w14:textFill>
        </w:rPr>
      </w:pPr>
      <w:bookmarkStart w:id="29" w:name="_Toc426966778"/>
      <w:bookmarkStart w:id="30" w:name="_Toc1240"/>
      <w:bookmarkStart w:id="31" w:name="_Toc43462285"/>
      <w:bookmarkStart w:id="32" w:name="_Toc1177484097"/>
      <w:r>
        <w:rPr>
          <w:rFonts w:hint="eastAsia" w:ascii="Times New Roman" w:hAnsi="Times New Roman" w:eastAsia="黑体" w:cs="Times New Roman"/>
          <w:b w:val="0"/>
          <w:color w:val="000000" w:themeColor="text1"/>
          <w:sz w:val="30"/>
          <w:szCs w:val="30"/>
          <w14:textFill>
            <w14:solidFill>
              <w14:schemeClr w14:val="tx1"/>
            </w14:solidFill>
          </w14:textFill>
        </w:rPr>
        <w:t>六、市场参与者技术系统注意事项</w:t>
      </w:r>
      <w:bookmarkEnd w:id="29"/>
      <w:bookmarkEnd w:id="30"/>
      <w:bookmarkEnd w:id="31"/>
      <w:bookmarkEnd w:id="32"/>
    </w:p>
    <w:p>
      <w:pPr>
        <w:pStyle w:val="49"/>
        <w:numPr>
          <w:ilvl w:val="0"/>
          <w:numId w:val="8"/>
        </w:numPr>
        <w:spacing w:beforeLines="0" w:line="560" w:lineRule="exact"/>
        <w:ind w:left="0" w:firstLine="6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拟开展北交所做市交易业务的做市商技术系统应支持公开发行业务和连续竞价交易业务。</w:t>
      </w:r>
    </w:p>
    <w:p>
      <w:pPr>
        <w:pStyle w:val="49"/>
        <w:numPr>
          <w:ilvl w:val="0"/>
          <w:numId w:val="8"/>
        </w:numPr>
        <w:spacing w:beforeLines="0" w:line="560" w:lineRule="exact"/>
        <w:ind w:left="0" w:firstLine="6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对于连续竞价股票，行情分析软件也应支持揭示其存在的做市商数量。</w:t>
      </w:r>
    </w:p>
    <w:p>
      <w:pPr>
        <w:pStyle w:val="49"/>
        <w:numPr>
          <w:ilvl w:val="0"/>
          <w:numId w:val="8"/>
        </w:numPr>
        <w:spacing w:beforeLines="0" w:line="560" w:lineRule="exact"/>
        <w:ind w:left="0" w:firstLine="600"/>
        <w:jc w:val="both"/>
        <w:rPr>
          <w:rFonts w:ascii="方正仿宋简体" w:hAnsi="方正仿宋简体" w:eastAsia="方正仿宋简体" w:cs="方正仿宋简体"/>
          <w:color w:val="000000" w:themeColor="text1"/>
          <w:sz w:val="30"/>
          <w:szCs w:val="30"/>
          <w14:textFill>
            <w14:solidFill>
              <w14:schemeClr w14:val="tx1"/>
            </w14:solidFill>
          </w14:textFill>
        </w:rPr>
      </w:pPr>
      <w:r>
        <w:rPr>
          <w:rFonts w:hint="eastAsia" w:ascii="方正仿宋简体" w:hAnsi="方正仿宋简体" w:eastAsia="方正仿宋简体" w:cs="方正仿宋简体"/>
          <w:color w:val="000000" w:themeColor="text1"/>
          <w:sz w:val="30"/>
          <w:szCs w:val="30"/>
          <w14:textFill>
            <w14:solidFill>
              <w14:schemeClr w14:val="tx1"/>
            </w14:solidFill>
          </w14:textFill>
        </w:rPr>
        <w:t>做市商应根据业务规则自行控制报价价差、有效报价时长。</w:t>
      </w:r>
      <w:bookmarkStart w:id="33" w:name="_Toc426966779"/>
    </w:p>
    <w:p>
      <w:pPr>
        <w:pStyle w:val="2"/>
        <w:spacing w:before="0" w:beforeLines="0" w:after="0" w:line="560" w:lineRule="exact"/>
        <w:ind w:firstLine="600" w:firstLineChars="200"/>
        <w:rPr>
          <w:rFonts w:ascii="Times New Roman" w:hAnsi="Times New Roman" w:eastAsia="黑体" w:cs="Times New Roman"/>
          <w:b w:val="0"/>
          <w:color w:val="000000" w:themeColor="text1"/>
          <w:sz w:val="30"/>
          <w:szCs w:val="30"/>
          <w14:textFill>
            <w14:solidFill>
              <w14:schemeClr w14:val="tx1"/>
            </w14:solidFill>
          </w14:textFill>
        </w:rPr>
      </w:pPr>
      <w:bookmarkStart w:id="34" w:name="_Toc11125"/>
      <w:bookmarkStart w:id="35" w:name="_Toc1912463930"/>
      <w:bookmarkStart w:id="36" w:name="_Toc43462286"/>
      <w:r>
        <w:rPr>
          <w:rFonts w:hint="eastAsia" w:ascii="Times New Roman" w:hAnsi="Times New Roman" w:eastAsia="黑体" w:cs="Times New Roman"/>
          <w:b w:val="0"/>
          <w:color w:val="000000" w:themeColor="text1"/>
          <w:sz w:val="30"/>
          <w:szCs w:val="30"/>
          <w14:textFill>
            <w14:solidFill>
              <w14:schemeClr w14:val="tx1"/>
            </w14:solidFill>
          </w14:textFill>
        </w:rPr>
        <w:t>七、联系方式</w:t>
      </w:r>
      <w:bookmarkEnd w:id="33"/>
      <w:bookmarkEnd w:id="34"/>
      <w:bookmarkEnd w:id="35"/>
      <w:bookmarkEnd w:id="36"/>
    </w:p>
    <w:tbl>
      <w:tblPr>
        <w:tblStyle w:val="21"/>
        <w:tblW w:w="45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0"/>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beforeLines="0" w:line="560" w:lineRule="exact"/>
              <w:ind w:firstLine="562" w:firstLineChars="200"/>
              <w:rPr>
                <w:rFonts w:ascii="方正仿宋简体" w:hAnsi="方正仿宋简体" w:eastAsia="方正仿宋简体" w:cs="方正仿宋简体"/>
                <w:b/>
                <w:color w:val="000000" w:themeColor="text1"/>
                <w:sz w:val="28"/>
                <w:szCs w:val="28"/>
                <w14:textFill>
                  <w14:solidFill>
                    <w14:schemeClr w14:val="tx1"/>
                  </w14:solidFill>
                </w14:textFill>
              </w:rPr>
            </w:pPr>
            <w:r>
              <w:rPr>
                <w:rFonts w:hint="eastAsia" w:ascii="方正仿宋简体" w:hAnsi="方正仿宋简体" w:eastAsia="方正仿宋简体" w:cs="方正仿宋简体"/>
                <w:b/>
                <w:color w:val="000000" w:themeColor="text1"/>
                <w:sz w:val="28"/>
                <w:szCs w:val="28"/>
                <w14:textFill>
                  <w14:solidFill>
                    <w14:schemeClr w14:val="tx1"/>
                  </w14:solidFill>
                </w14:textFill>
              </w:rPr>
              <w:t>联系单位/部门</w:t>
            </w:r>
          </w:p>
        </w:tc>
        <w:tc>
          <w:tcPr>
            <w:tcW w:w="3071"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beforeLines="0" w:line="560" w:lineRule="exact"/>
              <w:ind w:firstLine="562" w:firstLineChars="200"/>
              <w:rPr>
                <w:rFonts w:ascii="方正仿宋简体" w:hAnsi="方正仿宋简体" w:eastAsia="方正仿宋简体" w:cs="方正仿宋简体"/>
                <w:b/>
                <w:color w:val="000000" w:themeColor="text1"/>
                <w:sz w:val="28"/>
                <w:szCs w:val="28"/>
                <w14:textFill>
                  <w14:solidFill>
                    <w14:schemeClr w14:val="tx1"/>
                  </w14:solidFill>
                </w14:textFill>
              </w:rPr>
            </w:pPr>
            <w:r>
              <w:rPr>
                <w:rFonts w:hint="eastAsia" w:ascii="方正仿宋简体" w:hAnsi="方正仿宋简体" w:eastAsia="方正仿宋简体" w:cs="方正仿宋简体"/>
                <w:b/>
                <w:color w:val="000000" w:themeColor="text1"/>
                <w:sz w:val="28"/>
                <w:szCs w:val="28"/>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9" w:type="pct"/>
            <w:tcBorders>
              <w:top w:val="single" w:color="auto" w:sz="4" w:space="0"/>
              <w:left w:val="single" w:color="auto" w:sz="4" w:space="0"/>
              <w:bottom w:val="single" w:color="auto" w:sz="4" w:space="0"/>
              <w:right w:val="single" w:color="auto" w:sz="4" w:space="0"/>
            </w:tcBorders>
            <w:vAlign w:val="center"/>
          </w:tcPr>
          <w:p>
            <w:pPr>
              <w:spacing w:beforeLines="0"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北京证券交易所</w:t>
            </w:r>
          </w:p>
        </w:tc>
        <w:tc>
          <w:tcPr>
            <w:tcW w:w="3071" w:type="pct"/>
            <w:tcBorders>
              <w:top w:val="single" w:color="auto" w:sz="4" w:space="0"/>
              <w:left w:val="single" w:color="auto" w:sz="4" w:space="0"/>
              <w:bottom w:val="single" w:color="auto" w:sz="4" w:space="0"/>
              <w:right w:val="single" w:color="auto" w:sz="4" w:space="0"/>
            </w:tcBorders>
            <w:vAlign w:val="center"/>
          </w:tcPr>
          <w:p>
            <w:pPr>
              <w:spacing w:beforeLines="0" w:line="560" w:lineRule="exact"/>
              <w:ind w:firstLine="560" w:firstLineChars="200"/>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400-626-3333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9" w:type="pct"/>
            <w:tcBorders>
              <w:top w:val="single" w:color="auto" w:sz="4" w:space="0"/>
              <w:left w:val="single" w:color="auto" w:sz="4" w:space="0"/>
              <w:bottom w:val="single" w:color="auto" w:sz="4" w:space="0"/>
              <w:right w:val="single" w:color="auto" w:sz="4" w:space="0"/>
            </w:tcBorders>
            <w:vAlign w:val="center"/>
          </w:tcPr>
          <w:p>
            <w:pPr>
              <w:spacing w:beforeLines="0"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深圳证券通信公司</w:t>
            </w:r>
          </w:p>
        </w:tc>
        <w:tc>
          <w:tcPr>
            <w:tcW w:w="3071" w:type="pct"/>
            <w:tcBorders>
              <w:top w:val="single" w:color="auto" w:sz="4" w:space="0"/>
              <w:left w:val="single" w:color="auto" w:sz="4" w:space="0"/>
              <w:bottom w:val="single" w:color="auto" w:sz="4" w:space="0"/>
              <w:right w:val="single" w:color="auto" w:sz="4" w:space="0"/>
            </w:tcBorders>
            <w:vAlign w:val="center"/>
          </w:tcPr>
          <w:p>
            <w:pPr>
              <w:spacing w:beforeLines="0" w:line="560" w:lineRule="exact"/>
              <w:ind w:firstLine="560" w:firstLineChars="200"/>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0755-83182222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9" w:type="pct"/>
            <w:tcBorders>
              <w:top w:val="single" w:color="auto" w:sz="4" w:space="0"/>
              <w:left w:val="single" w:color="auto" w:sz="4" w:space="0"/>
              <w:bottom w:val="single" w:color="auto" w:sz="4" w:space="0"/>
              <w:right w:val="single" w:color="auto" w:sz="4" w:space="0"/>
            </w:tcBorders>
            <w:vAlign w:val="center"/>
          </w:tcPr>
          <w:p>
            <w:pPr>
              <w:spacing w:beforeLines="0" w:line="560" w:lineRule="exact"/>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QQ群</w:t>
            </w:r>
          </w:p>
        </w:tc>
        <w:tc>
          <w:tcPr>
            <w:tcW w:w="3071" w:type="pct"/>
            <w:tcBorders>
              <w:top w:val="single" w:color="auto" w:sz="4" w:space="0"/>
              <w:left w:val="single" w:color="auto" w:sz="4" w:space="0"/>
              <w:bottom w:val="single" w:color="auto" w:sz="4" w:space="0"/>
              <w:right w:val="single" w:color="auto" w:sz="4" w:space="0"/>
            </w:tcBorders>
            <w:vAlign w:val="center"/>
          </w:tcPr>
          <w:p>
            <w:pPr>
              <w:spacing w:beforeLines="0" w:line="560" w:lineRule="exact"/>
              <w:ind w:firstLine="560" w:firstLineChars="200"/>
              <w:rPr>
                <w:rFonts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338167838</w:t>
            </w:r>
          </w:p>
        </w:tc>
      </w:tr>
    </w:tbl>
    <w:p>
      <w:pPr>
        <w:spacing w:beforeLines="0" w:line="560" w:lineRule="exact"/>
        <w:ind w:firstLine="600" w:firstLineChars="200"/>
        <w:jc w:val="both"/>
        <w:rPr>
          <w:rFonts w:ascii="方正仿宋简体" w:hAnsi="方正仿宋简体" w:eastAsia="方正仿宋简体" w:cs="方正仿宋简体"/>
          <w:color w:val="000000" w:themeColor="text1"/>
          <w:sz w:val="30"/>
          <w:szCs w:val="30"/>
          <w14:textFill>
            <w14:solidFill>
              <w14:schemeClr w14:val="tx1"/>
            </w14:solidFill>
          </w14:textFill>
        </w:rPr>
      </w:pPr>
    </w:p>
    <w:sectPr>
      <w:headerReference r:id="rId18" w:type="first"/>
      <w:headerReference r:id="rId16" w:type="default"/>
      <w:footerReference r:id="rId19" w:type="default"/>
      <w:headerReference r:id="rId17" w:type="even"/>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仿宋">
    <w:panose1 w:val="02010609060101010101"/>
    <w:charset w:val="86"/>
    <w:family w:val="modern"/>
    <w:pitch w:val="default"/>
    <w:sig w:usb0="800002BF" w:usb1="38CF7CFA"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jc w:val="right"/>
    </w:pPr>
  </w:p>
  <w:p>
    <w:pPr>
      <w:pStyle w:val="14"/>
      <w:spacing w:before="120"/>
      <w:ind w:firstLine="480"/>
      <w:jc w:val="center"/>
      <w:rPr>
        <w:rFonts w:ascii="Times New Roman" w:hAnsi="Times New Roman"/>
        <w:sz w:val="24"/>
        <w:szCs w:val="24"/>
      </w:rPr>
    </w:pPr>
    <w:r>
      <w:rPr>
        <w:rFonts w:hint="eastAsia" w:ascii="Times New Roman" w:hAnsi="Times New Roman"/>
        <w:sz w:val="24"/>
        <w:szCs w:val="24"/>
      </w:rPr>
      <w:t>第</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II</w:t>
    </w:r>
    <w:r>
      <w:rPr>
        <w:rFonts w:ascii="Times New Roman" w:hAnsi="Times New Roman"/>
        <w:sz w:val="24"/>
        <w:szCs w:val="24"/>
      </w:rPr>
      <w:fldChar w:fldCharType="end"/>
    </w:r>
    <w:r>
      <w:rPr>
        <w:rFonts w:hint="eastAsia" w:ascii="Times New Roman" w:hAnsi="Times New Roman"/>
        <w:sz w:val="24"/>
        <w:szCs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480"/>
      <w:jc w:val="center"/>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jc w:val="right"/>
    </w:pPr>
  </w:p>
  <w:p>
    <w:pPr>
      <w:pStyle w:val="14"/>
      <w:spacing w:before="120"/>
      <w:ind w:firstLine="48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II</w:t>
    </w:r>
    <w:r>
      <w:rPr>
        <w:rFonts w:ascii="Times New Roman" w:hAnsi="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480"/>
      <w:jc w:val="center"/>
      <w:rPr>
        <w:rFonts w:ascii="Times New Roman" w:hAnsi="Times New Roman"/>
        <w:sz w:val="24"/>
        <w:szCs w:val="24"/>
        <w:u w:val="single"/>
      </w:rPr>
    </w:pPr>
    <w:r>
      <w:rPr>
        <w:rFonts w:hint="eastAsia" w:ascii="Times New Roman" w:hAnsi="Times New Roman"/>
        <w:sz w:val="24"/>
        <w:szCs w:val="24"/>
      </w:rPr>
      <w:t>第</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I</w:t>
    </w:r>
    <w:r>
      <w:rPr>
        <w:rFonts w:ascii="Times New Roman" w:hAnsi="Times New Roman"/>
        <w:sz w:val="24"/>
        <w:szCs w:val="24"/>
      </w:rPr>
      <w:fldChar w:fldCharType="end"/>
    </w:r>
    <w:r>
      <w:rPr>
        <w:rFonts w:hint="eastAsia" w:ascii="Times New Roman" w:hAnsi="Times New Roman"/>
        <w:sz w:val="24"/>
        <w:szCs w:val="24"/>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jc w:val="right"/>
    </w:pPr>
  </w:p>
  <w:p>
    <w:pPr>
      <w:pStyle w:val="14"/>
      <w:spacing w:before="120"/>
      <w:ind w:firstLine="480"/>
      <w:jc w:val="center"/>
      <w:rPr>
        <w:rFonts w:ascii="Times New Roman" w:hAnsi="Times New Roman"/>
        <w:sz w:val="24"/>
        <w:szCs w:val="24"/>
      </w:rPr>
    </w:pPr>
    <w:r>
      <w:rPr>
        <w:rFonts w:hint="eastAsia" w:ascii="Times New Roman" w:hAnsi="Times New Roman"/>
        <w:sz w:val="24"/>
        <w:szCs w:val="24"/>
      </w:rPr>
      <w:t>第</w:t>
    </w:r>
    <w:r>
      <w:rPr>
        <w:rFonts w:ascii="Times New Roman" w:hAnsi="Times New Roman"/>
        <w:sz w:val="24"/>
        <w:szCs w:val="24"/>
      </w:rPr>
      <w:fldChar w:fldCharType="begin"/>
    </w:r>
    <w:r>
      <w:rPr>
        <w:rFonts w:hint="eastAsia"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hint="eastAsia" w:ascii="Times New Roman" w:hAnsi="Times New Roman"/>
        <w:sz w:val="24"/>
        <w:szCs w:val="24"/>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SmallGap" w:color="622423" w:themeColor="accent2" w:themeShade="7F" w:sz="24" w:space="0"/>
      </w:pBdr>
      <w:adjustRightInd w:val="0"/>
      <w:spacing w:before="120" w:after="100" w:afterAutospacing="1" w:line="360" w:lineRule="auto"/>
      <w:ind w:firstLine="0" w:firstLineChars="0"/>
      <w:jc w:val="left"/>
      <w:rPr>
        <w:b/>
      </w:rPr>
    </w:pPr>
    <w:r>
      <w:rPr>
        <w:sz w:val="24"/>
        <w:szCs w:val="24"/>
      </w:rPr>
      <w:drawing>
        <wp:anchor distT="0" distB="0" distL="114300" distR="114300" simplePos="0" relativeHeight="251656192" behindDoc="0" locked="0" layoutInCell="1" allowOverlap="1">
          <wp:simplePos x="0" y="0"/>
          <wp:positionH relativeFrom="margin">
            <wp:posOffset>-57150</wp:posOffset>
          </wp:positionH>
          <wp:positionV relativeFrom="margin">
            <wp:posOffset>-617855</wp:posOffset>
          </wp:positionV>
          <wp:extent cx="2051050" cy="381000"/>
          <wp:effectExtent l="19050" t="0" r="6350" b="0"/>
          <wp:wrapSquare wrapText="bothSides"/>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
                    <a:extLst>
                      <a:ext uri="{28A0092B-C50C-407E-A947-70E740481C1C}">
                        <a14:useLocalDpi xmlns:a14="http://schemas.microsoft.com/office/drawing/2010/main" val="false"/>
                      </a:ext>
                    </a:extLst>
                  </a:blip>
                  <a:stretch>
                    <a:fillRect/>
                  </a:stretch>
                </pic:blipFill>
                <pic:spPr>
                  <a:xfrm>
                    <a:off x="0" y="0"/>
                    <a:ext cx="2051050" cy="381000"/>
                  </a:xfrm>
                  <a:prstGeom prst="rect">
                    <a:avLst/>
                  </a:prstGeom>
                </pic:spPr>
              </pic:pic>
            </a:graphicData>
          </a:graphic>
        </wp:anchor>
      </w:drawing>
    </w:r>
    <w:r>
      <w:rPr>
        <w:rFonts w:hint="eastAsia"/>
        <w:b/>
        <w:sz w:val="24"/>
        <w:szCs w:val="24"/>
      </w:rPr>
      <w:tab/>
    </w:r>
    <w:r>
      <w:rPr>
        <w:rFonts w:hint="eastAsia"/>
        <w:b/>
      </w:rPr>
      <w:t>股转</w:t>
    </w:r>
    <w:r>
      <w:rPr>
        <w:b/>
      </w:rPr>
      <w:t>系统文档模板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SmallGap" w:color="622423" w:themeColor="accent2" w:themeShade="7F" w:sz="24" w:space="0"/>
      </w:pBdr>
      <w:wordWrap w:val="0"/>
      <w:spacing w:before="120" w:after="0" w:line="0" w:lineRule="atLeast"/>
      <w:ind w:right="964" w:firstLine="0" w:firstLineChars="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SmallGap" w:color="622423" w:themeColor="accent2" w:themeShade="7F" w:sz="24" w:space="0"/>
      </w:pBdr>
      <w:adjustRightInd w:val="0"/>
      <w:spacing w:before="120" w:after="100" w:afterAutospacing="1" w:line="0" w:lineRule="atLeast"/>
      <w:ind w:right="84" w:firstLine="0" w:firstLineChars="0"/>
      <w:jc w:val="right"/>
      <w:rPr>
        <w:b/>
      </w:rPr>
    </w:pPr>
    <w:r>
      <w:rPr>
        <w:rFonts w:hint="eastAsia"/>
        <w:b/>
      </w:rPr>
      <w:t xml:space="preserve">                             市场参与者技术系统变更指南</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12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r>
      <mc:AlternateContent>
        <mc:Choice Requires="wps">
          <w:drawing>
            <wp:anchor distT="0" distB="0" distL="114300" distR="114300" simplePos="0" relativeHeight="251660288" behindDoc="0" locked="0" layoutInCell="1" allowOverlap="1">
              <wp:simplePos x="0" y="0"/>
              <wp:positionH relativeFrom="column">
                <wp:posOffset>-283845</wp:posOffset>
              </wp:positionH>
              <wp:positionV relativeFrom="paragraph">
                <wp:posOffset>-317500</wp:posOffset>
              </wp:positionV>
              <wp:extent cx="6315075" cy="523875"/>
              <wp:effectExtent l="0" t="0" r="0" b="0"/>
              <wp:wrapNone/>
              <wp:docPr id="10"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6315075" cy="523875"/>
                      </a:xfrm>
                      <a:prstGeom prst="rect">
                        <a:avLst/>
                      </a:prstGeom>
                      <a:noFill/>
                      <a:ln w="9525">
                        <a:noFill/>
                        <a:miter lim="800000"/>
                      </a:ln>
                    </wps:spPr>
                    <wps:txbx>
                      <w:txbxContent>
                        <w:tbl>
                          <w:tblPr>
                            <w:tblStyle w:val="22"/>
                            <w:tblW w:w="93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21"/>
                            <w:gridCol w:w="4042"/>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2864" w:type="dxa"/>
                              </w:tcPr>
                              <w:p>
                                <w:pPr>
                                  <w:pStyle w:val="15"/>
                                  <w:pBdr>
                                    <w:bottom w:val="none" w:color="auto" w:sz="0" w:space="0"/>
                                  </w:pBdr>
                                  <w:spacing w:before="120"/>
                                  <w:ind w:firstLine="0" w:firstLineChars="0"/>
                                  <w:jc w:val="left"/>
                                  <w:rPr>
                                    <w:kern w:val="0"/>
                                  </w:rPr>
                                </w:pPr>
                                <w:r>
                                  <w:rPr>
                                    <w:kern w:val="0"/>
                                  </w:rPr>
                                  <w:drawing>
                                    <wp:inline distT="0" distB="0" distL="0" distR="0">
                                      <wp:extent cx="2162175" cy="398145"/>
                                      <wp:effectExtent l="0" t="0" r="0" b="190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1"/>
                                              <a:stretch>
                                                <a:fillRect/>
                                              </a:stretch>
                                            </pic:blipFill>
                                            <pic:spPr>
                                              <a:xfrm>
                                                <a:off x="0" y="0"/>
                                                <a:ext cx="2162175" cy="398651"/>
                                              </a:xfrm>
                                              <a:prstGeom prst="rect">
                                                <a:avLst/>
                                              </a:prstGeom>
                                            </pic:spPr>
                                          </pic:pic>
                                        </a:graphicData>
                                      </a:graphic>
                                    </wp:inline>
                                  </w:drawing>
                                </w:r>
                              </w:p>
                            </w:tc>
                            <w:tc>
                              <w:tcPr>
                                <w:tcW w:w="4608" w:type="dxa"/>
                                <w:vAlign w:val="center"/>
                              </w:tcPr>
                              <w:p>
                                <w:pPr>
                                  <w:pStyle w:val="15"/>
                                  <w:pBdr>
                                    <w:bottom w:val="none" w:color="auto" w:sz="0" w:space="0"/>
                                  </w:pBdr>
                                  <w:spacing w:before="120"/>
                                  <w:ind w:firstLine="0" w:firstLineChars="0"/>
                                  <w:rPr>
                                    <w:kern w:val="0"/>
                                    <w:sz w:val="21"/>
                                    <w:szCs w:val="21"/>
                                  </w:rPr>
                                </w:pPr>
                                <w:r>
                                  <w:rPr>
                                    <w:rFonts w:hint="eastAsia"/>
                                    <w:kern w:val="0"/>
                                    <w:sz w:val="21"/>
                                    <w:szCs w:val="21"/>
                                  </w:rPr>
                                  <w:t>股转系统文档模板</w:t>
                                </w:r>
                              </w:p>
                            </w:tc>
                            <w:tc>
                              <w:tcPr>
                                <w:tcW w:w="1838" w:type="dxa"/>
                                <w:vAlign w:val="center"/>
                              </w:tcPr>
                              <w:p>
                                <w:pPr>
                                  <w:pStyle w:val="15"/>
                                  <w:pBdr>
                                    <w:bottom w:val="none" w:color="auto" w:sz="0" w:space="0"/>
                                  </w:pBdr>
                                  <w:spacing w:before="120"/>
                                  <w:ind w:firstLine="0" w:firstLineChars="0"/>
                                  <w:rPr>
                                    <w:kern w:val="0"/>
                                    <w:sz w:val="21"/>
                                    <w:szCs w:val="21"/>
                                  </w:rPr>
                                </w:pPr>
                                <w:r>
                                  <w:rPr>
                                    <w:rFonts w:hint="eastAsia"/>
                                    <w:kern w:val="0"/>
                                    <w:sz w:val="21"/>
                                    <w:szCs w:val="21"/>
                                  </w:rPr>
                                  <w:t>内部限制</w:t>
                                </w:r>
                              </w:p>
                            </w:tc>
                          </w:tr>
                        </w:tbl>
                        <w:p>
                          <w:pPr>
                            <w:spacing w:before="120"/>
                            <w:ind w:firstLine="480"/>
                          </w:pP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22.35pt;margin-top:-25pt;height:41.25pt;width:497.25pt;z-index:251660288;mso-width-relative:page;mso-height-relative:page;" filled="f" stroked="f" coordsize="21600,21600" o:gfxdata="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Mfl&#10;18DXAAAACgEAAA8AAAAAAAAAAQAgAAAAOAAAAGRycy9kb3ducmV2LnhtbFBLAQIUABQAAAAIAIdO&#10;4kDUx9etDgIAAOYDAAAOAAAAAAAAAAEAIAAAADwBAABkcnMvZTJvRG9jLnhtbFBLBQYAAAAABgAG&#10;AFkBAAC8BQAAAAA=&#10;">
              <v:fill on="f" focussize="0,0"/>
              <v:stroke on="f" miterlimit="8" joinstyle="miter"/>
              <v:imagedata o:title=""/>
              <o:lock v:ext="edit" aspectratio="f"/>
              <v:textbox>
                <w:txbxContent>
                  <w:tbl>
                    <w:tblPr>
                      <w:tblStyle w:val="22"/>
                      <w:tblW w:w="93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21"/>
                      <w:gridCol w:w="4042"/>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2864" w:type="dxa"/>
                        </w:tcPr>
                        <w:p>
                          <w:pPr>
                            <w:pStyle w:val="15"/>
                            <w:pBdr>
                              <w:bottom w:val="none" w:color="auto" w:sz="0" w:space="0"/>
                            </w:pBdr>
                            <w:spacing w:before="120"/>
                            <w:ind w:firstLine="0" w:firstLineChars="0"/>
                            <w:jc w:val="left"/>
                            <w:rPr>
                              <w:kern w:val="0"/>
                            </w:rPr>
                          </w:pPr>
                          <w:r>
                            <w:rPr>
                              <w:kern w:val="0"/>
                            </w:rPr>
                            <w:drawing>
                              <wp:inline distT="0" distB="0" distL="0" distR="0">
                                <wp:extent cx="2162175" cy="398145"/>
                                <wp:effectExtent l="0" t="0" r="0" b="190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1"/>
                                        <a:stretch>
                                          <a:fillRect/>
                                        </a:stretch>
                                      </pic:blipFill>
                                      <pic:spPr>
                                        <a:xfrm>
                                          <a:off x="0" y="0"/>
                                          <a:ext cx="2162175" cy="398651"/>
                                        </a:xfrm>
                                        <a:prstGeom prst="rect">
                                          <a:avLst/>
                                        </a:prstGeom>
                                      </pic:spPr>
                                    </pic:pic>
                                  </a:graphicData>
                                </a:graphic>
                              </wp:inline>
                            </w:drawing>
                          </w:r>
                        </w:p>
                      </w:tc>
                      <w:tc>
                        <w:tcPr>
                          <w:tcW w:w="4608" w:type="dxa"/>
                          <w:vAlign w:val="center"/>
                        </w:tcPr>
                        <w:p>
                          <w:pPr>
                            <w:pStyle w:val="15"/>
                            <w:pBdr>
                              <w:bottom w:val="none" w:color="auto" w:sz="0" w:space="0"/>
                            </w:pBdr>
                            <w:spacing w:before="120"/>
                            <w:ind w:firstLine="0" w:firstLineChars="0"/>
                            <w:rPr>
                              <w:kern w:val="0"/>
                              <w:sz w:val="21"/>
                              <w:szCs w:val="21"/>
                            </w:rPr>
                          </w:pPr>
                          <w:r>
                            <w:rPr>
                              <w:rFonts w:hint="eastAsia"/>
                              <w:kern w:val="0"/>
                              <w:sz w:val="21"/>
                              <w:szCs w:val="21"/>
                            </w:rPr>
                            <w:t>股转系统文档模板</w:t>
                          </w:r>
                        </w:p>
                      </w:tc>
                      <w:tc>
                        <w:tcPr>
                          <w:tcW w:w="1838" w:type="dxa"/>
                          <w:vAlign w:val="center"/>
                        </w:tcPr>
                        <w:p>
                          <w:pPr>
                            <w:pStyle w:val="15"/>
                            <w:pBdr>
                              <w:bottom w:val="none" w:color="auto" w:sz="0" w:space="0"/>
                            </w:pBdr>
                            <w:spacing w:before="120"/>
                            <w:ind w:firstLine="0" w:firstLineChars="0"/>
                            <w:rPr>
                              <w:kern w:val="0"/>
                              <w:sz w:val="21"/>
                              <w:szCs w:val="21"/>
                            </w:rPr>
                          </w:pPr>
                          <w:r>
                            <w:rPr>
                              <w:rFonts w:hint="eastAsia"/>
                              <w:kern w:val="0"/>
                              <w:sz w:val="21"/>
                              <w:szCs w:val="21"/>
                            </w:rPr>
                            <w:t>内部限制</w:t>
                          </w:r>
                        </w:p>
                      </w:tc>
                    </w:tr>
                  </w:tbl>
                  <w:p>
                    <w:pPr>
                      <w:spacing w:before="120"/>
                      <w:ind w:firstLine="480"/>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SmallGap" w:color="622423" w:themeColor="accent2" w:themeShade="7F" w:sz="24" w:space="0"/>
      </w:pBdr>
      <w:adjustRightInd w:val="0"/>
      <w:spacing w:before="120" w:after="100" w:afterAutospacing="1" w:line="360" w:lineRule="auto"/>
      <w:ind w:left="5060" w:hanging="5059" w:hangingChars="2100"/>
      <w:jc w:val="right"/>
      <w:rPr>
        <w:b/>
      </w:rPr>
    </w:pPr>
    <w:r>
      <w:rPr>
        <w:rFonts w:hint="eastAsia"/>
        <w:b/>
        <w:sz w:val="24"/>
        <w:szCs w:val="24"/>
      </w:rPr>
      <w:tab/>
    </w:r>
    <w:r>
      <w:rPr>
        <w:rFonts w:hint="eastAsia"/>
        <w:b/>
      </w:rPr>
      <w:t>市场参与者技术系统变更指南</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120"/>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D1566"/>
    <w:multiLevelType w:val="multilevel"/>
    <w:tmpl w:val="FF7D1566"/>
    <w:lvl w:ilvl="0" w:tentative="0">
      <w:start w:val="1"/>
      <w:numFmt w:val="japaneseCounting"/>
      <w:lvlText w:val="（%1）"/>
      <w:lvlJc w:val="left"/>
      <w:pPr>
        <w:ind w:left="1545" w:hanging="1125"/>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
    <w:nsid w:val="2997440E"/>
    <w:multiLevelType w:val="multilevel"/>
    <w:tmpl w:val="2997440E"/>
    <w:lvl w:ilvl="0" w:tentative="0">
      <w:start w:val="1"/>
      <w:numFmt w:val="japaneseCounting"/>
      <w:lvlText w:val="（%1）"/>
      <w:lvlJc w:val="left"/>
      <w:pPr>
        <w:ind w:left="1545" w:hanging="11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7905B8B"/>
    <w:multiLevelType w:val="multilevel"/>
    <w:tmpl w:val="37905B8B"/>
    <w:lvl w:ilvl="0" w:tentative="0">
      <w:start w:val="1"/>
      <w:numFmt w:val="decimal"/>
      <w:lvlText w:val="%1."/>
      <w:lvlJc w:val="left"/>
      <w:pPr>
        <w:ind w:left="780" w:hanging="360"/>
      </w:pPr>
      <w:rPr>
        <w:rFonts w:hint="default" w:ascii="Times New Roman" w:hAnsi="Times New Roman" w:cs="Times New Roman" w:eastAsiaTheme="minorEastAsia"/>
        <w:color w:val="000000" w:themeColor="text1"/>
        <w14:textFill>
          <w14:solidFill>
            <w14:schemeClr w14:val="tx1"/>
          </w14:solidFill>
        </w14:textFil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B514489"/>
    <w:multiLevelType w:val="multilevel"/>
    <w:tmpl w:val="3B514489"/>
    <w:lvl w:ilvl="0" w:tentative="0">
      <w:start w:val="1"/>
      <w:numFmt w:val="chineseCountingThousand"/>
      <w:pStyle w:val="34"/>
      <w:lvlText w:val="%1、"/>
      <w:lvlJc w:val="left"/>
      <w:pPr>
        <w:ind w:left="420" w:hanging="420"/>
      </w:pPr>
      <w:rPr>
        <w:rFonts w:hint="eastAsia"/>
      </w:rPr>
    </w:lvl>
    <w:lvl w:ilvl="1" w:tentative="0">
      <w:start w:val="1"/>
      <w:numFmt w:val="decimal"/>
      <w:lvlText w:val="%1.%2"/>
      <w:lvlJc w:val="left"/>
      <w:pPr>
        <w:ind w:left="0" w:firstLine="0"/>
      </w:pPr>
      <w:rPr>
        <w:rFonts w:hint="default" w:asciiTheme="minorHAnsi" w:hAnsiTheme="minorHAnsi"/>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default" w:asciiTheme="minorHAnsi" w:hAnsiTheme="minorHAnsi"/>
      </w:rPr>
    </w:lvl>
    <w:lvl w:ilvl="4" w:tentative="0">
      <w:start w:val="1"/>
      <w:numFmt w:val="decimal"/>
      <w:pStyle w:val="6"/>
      <w:lvlText w:val="%1.%2.%3.%4.%5"/>
      <w:lvlJc w:val="left"/>
      <w:pPr>
        <w:ind w:left="0" w:firstLine="0"/>
      </w:pPr>
      <w:rPr>
        <w:rFonts w:hint="eastAsia" w:cs="Times New Roman"/>
        <w:i w:val="0"/>
        <w:iCs w:val="0"/>
        <w:caps w:val="0"/>
        <w:smallCaps w:val="0"/>
        <w:strike w:val="0"/>
        <w:dstrike w:val="0"/>
        <w:vanish w:val="0"/>
        <w:color w:val="000000"/>
        <w:spacing w:val="0"/>
        <w:position w:val="0"/>
        <w:u w:val="none"/>
        <w:vertAlign w:val="baseline"/>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43223558"/>
    <w:multiLevelType w:val="multilevel"/>
    <w:tmpl w:val="43223558"/>
    <w:lvl w:ilvl="0" w:tentative="0">
      <w:start w:val="1"/>
      <w:numFmt w:val="decimal"/>
      <w:pStyle w:val="27"/>
      <w:lvlText w:val="2.1.%1"/>
      <w:lvlJc w:val="left"/>
      <w:pPr>
        <w:ind w:left="420" w:hanging="420"/>
      </w:pPr>
      <w:rPr>
        <w:rFonts w:hint="eastAsia" w:eastAsia="宋体" w:asciiTheme="majorEastAsia" w:hAnsi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6C415A2"/>
    <w:multiLevelType w:val="multilevel"/>
    <w:tmpl w:val="46C415A2"/>
    <w:lvl w:ilvl="0" w:tentative="0">
      <w:start w:val="1"/>
      <w:numFmt w:val="decimal"/>
      <w:pStyle w:val="28"/>
      <w:lvlText w:val="1.1.1.%1"/>
      <w:lvlJc w:val="left"/>
      <w:pPr>
        <w:ind w:left="420" w:hanging="420"/>
      </w:pPr>
      <w:rPr>
        <w:rFonts w:hint="eastAsia" w:asciiTheme="majorEastAsia" w:hAnsiTheme="majorEastAsia" w:eastAsia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184730"/>
    <w:multiLevelType w:val="multilevel"/>
    <w:tmpl w:val="58184730"/>
    <w:lvl w:ilvl="0" w:tentative="0">
      <w:start w:val="1"/>
      <w:numFmt w:val="chineseCountingThousand"/>
      <w:pStyle w:val="43"/>
      <w:lvlText w:val="第%1条"/>
      <w:lvlJc w:val="left"/>
      <w:pPr>
        <w:tabs>
          <w:tab w:val="left" w:pos="360"/>
        </w:tabs>
      </w:pPr>
      <w:rPr>
        <w:rFonts w:hint="default"/>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5B63248D"/>
    <w:multiLevelType w:val="multilevel"/>
    <w:tmpl w:val="5B63248D"/>
    <w:lvl w:ilvl="0" w:tentative="0">
      <w:start w:val="1"/>
      <w:numFmt w:val="decimal"/>
      <w:pStyle w:val="35"/>
      <w:lvlText w:val="3.%1"/>
      <w:lvlJc w:val="left"/>
      <w:pPr>
        <w:ind w:left="420" w:hanging="420"/>
      </w:pPr>
      <w:rPr>
        <w:rFonts w:hint="default" w:eastAsia="宋体" w:asciiTheme="majorEastAsia" w:hAnsi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3A"/>
    <w:rsid w:val="000045CF"/>
    <w:rsid w:val="00004E5A"/>
    <w:rsid w:val="00006615"/>
    <w:rsid w:val="00006D4F"/>
    <w:rsid w:val="00010419"/>
    <w:rsid w:val="00010E93"/>
    <w:rsid w:val="00012386"/>
    <w:rsid w:val="000126C2"/>
    <w:rsid w:val="00013B66"/>
    <w:rsid w:val="00013DD7"/>
    <w:rsid w:val="00014FE8"/>
    <w:rsid w:val="00020285"/>
    <w:rsid w:val="00020955"/>
    <w:rsid w:val="00020E0E"/>
    <w:rsid w:val="00021C75"/>
    <w:rsid w:val="00022207"/>
    <w:rsid w:val="000233C5"/>
    <w:rsid w:val="00023FB3"/>
    <w:rsid w:val="00025375"/>
    <w:rsid w:val="0002595D"/>
    <w:rsid w:val="00031325"/>
    <w:rsid w:val="0003139E"/>
    <w:rsid w:val="00031456"/>
    <w:rsid w:val="00032542"/>
    <w:rsid w:val="00034873"/>
    <w:rsid w:val="00034E6C"/>
    <w:rsid w:val="000363C5"/>
    <w:rsid w:val="00036DBE"/>
    <w:rsid w:val="00036EFA"/>
    <w:rsid w:val="00041A73"/>
    <w:rsid w:val="000422C7"/>
    <w:rsid w:val="00045D47"/>
    <w:rsid w:val="0004728A"/>
    <w:rsid w:val="00047312"/>
    <w:rsid w:val="00047CE6"/>
    <w:rsid w:val="00050071"/>
    <w:rsid w:val="00053767"/>
    <w:rsid w:val="000549E9"/>
    <w:rsid w:val="0006058B"/>
    <w:rsid w:val="0006339E"/>
    <w:rsid w:val="00064278"/>
    <w:rsid w:val="0006585D"/>
    <w:rsid w:val="00066AC9"/>
    <w:rsid w:val="0007289E"/>
    <w:rsid w:val="00072A13"/>
    <w:rsid w:val="00076B42"/>
    <w:rsid w:val="000804FB"/>
    <w:rsid w:val="00081082"/>
    <w:rsid w:val="0008198B"/>
    <w:rsid w:val="00082087"/>
    <w:rsid w:val="00083BE4"/>
    <w:rsid w:val="00084210"/>
    <w:rsid w:val="00084338"/>
    <w:rsid w:val="000845FE"/>
    <w:rsid w:val="000846CA"/>
    <w:rsid w:val="00084E7C"/>
    <w:rsid w:val="000864F1"/>
    <w:rsid w:val="00090F56"/>
    <w:rsid w:val="00091079"/>
    <w:rsid w:val="00092A58"/>
    <w:rsid w:val="00094BAA"/>
    <w:rsid w:val="0009581C"/>
    <w:rsid w:val="000A0665"/>
    <w:rsid w:val="000A14A7"/>
    <w:rsid w:val="000A2F2E"/>
    <w:rsid w:val="000A3AC2"/>
    <w:rsid w:val="000A449B"/>
    <w:rsid w:val="000A6577"/>
    <w:rsid w:val="000A6BEF"/>
    <w:rsid w:val="000A6E2B"/>
    <w:rsid w:val="000A6EE7"/>
    <w:rsid w:val="000A761B"/>
    <w:rsid w:val="000A7767"/>
    <w:rsid w:val="000B0017"/>
    <w:rsid w:val="000B050B"/>
    <w:rsid w:val="000B092D"/>
    <w:rsid w:val="000B1889"/>
    <w:rsid w:val="000B3132"/>
    <w:rsid w:val="000B35AE"/>
    <w:rsid w:val="000B5431"/>
    <w:rsid w:val="000B5835"/>
    <w:rsid w:val="000B6211"/>
    <w:rsid w:val="000B63DB"/>
    <w:rsid w:val="000C06C5"/>
    <w:rsid w:val="000C17FC"/>
    <w:rsid w:val="000C195F"/>
    <w:rsid w:val="000C1DD1"/>
    <w:rsid w:val="000C4411"/>
    <w:rsid w:val="000C4FA7"/>
    <w:rsid w:val="000C777F"/>
    <w:rsid w:val="000C7B61"/>
    <w:rsid w:val="000D1559"/>
    <w:rsid w:val="000D21C1"/>
    <w:rsid w:val="000D3FDC"/>
    <w:rsid w:val="000D5E93"/>
    <w:rsid w:val="000D6EBC"/>
    <w:rsid w:val="000E094A"/>
    <w:rsid w:val="000E0FF4"/>
    <w:rsid w:val="000E4389"/>
    <w:rsid w:val="000E710A"/>
    <w:rsid w:val="000F07ED"/>
    <w:rsid w:val="000F0854"/>
    <w:rsid w:val="000F176D"/>
    <w:rsid w:val="000F181A"/>
    <w:rsid w:val="000F5905"/>
    <w:rsid w:val="000F70CF"/>
    <w:rsid w:val="000F753A"/>
    <w:rsid w:val="000F7DBA"/>
    <w:rsid w:val="00104BB0"/>
    <w:rsid w:val="00105010"/>
    <w:rsid w:val="00106626"/>
    <w:rsid w:val="00110271"/>
    <w:rsid w:val="0011082C"/>
    <w:rsid w:val="00115BC5"/>
    <w:rsid w:val="00117054"/>
    <w:rsid w:val="00117420"/>
    <w:rsid w:val="001203C4"/>
    <w:rsid w:val="00120FFE"/>
    <w:rsid w:val="00122AB2"/>
    <w:rsid w:val="00123B5F"/>
    <w:rsid w:val="00125378"/>
    <w:rsid w:val="00132E62"/>
    <w:rsid w:val="00133AD7"/>
    <w:rsid w:val="001341EE"/>
    <w:rsid w:val="00136A42"/>
    <w:rsid w:val="00136C73"/>
    <w:rsid w:val="00137275"/>
    <w:rsid w:val="00137B52"/>
    <w:rsid w:val="00137C01"/>
    <w:rsid w:val="001409B7"/>
    <w:rsid w:val="00140FF8"/>
    <w:rsid w:val="0014200E"/>
    <w:rsid w:val="00142913"/>
    <w:rsid w:val="001448F2"/>
    <w:rsid w:val="0014539F"/>
    <w:rsid w:val="00145D41"/>
    <w:rsid w:val="00146291"/>
    <w:rsid w:val="001500D3"/>
    <w:rsid w:val="00152429"/>
    <w:rsid w:val="00152B0A"/>
    <w:rsid w:val="00153621"/>
    <w:rsid w:val="001542FF"/>
    <w:rsid w:val="00154835"/>
    <w:rsid w:val="00154F2F"/>
    <w:rsid w:val="00157684"/>
    <w:rsid w:val="001576FD"/>
    <w:rsid w:val="001602C0"/>
    <w:rsid w:val="001616FE"/>
    <w:rsid w:val="0016397C"/>
    <w:rsid w:val="00170087"/>
    <w:rsid w:val="00170992"/>
    <w:rsid w:val="00173873"/>
    <w:rsid w:val="001749C0"/>
    <w:rsid w:val="001778FE"/>
    <w:rsid w:val="00177968"/>
    <w:rsid w:val="00180274"/>
    <w:rsid w:val="001823B8"/>
    <w:rsid w:val="001826FA"/>
    <w:rsid w:val="0018315C"/>
    <w:rsid w:val="00185C52"/>
    <w:rsid w:val="0019266F"/>
    <w:rsid w:val="001928AF"/>
    <w:rsid w:val="001928D5"/>
    <w:rsid w:val="001956A3"/>
    <w:rsid w:val="00196A79"/>
    <w:rsid w:val="001A0F93"/>
    <w:rsid w:val="001A1AD5"/>
    <w:rsid w:val="001A3DAC"/>
    <w:rsid w:val="001A5D26"/>
    <w:rsid w:val="001A7405"/>
    <w:rsid w:val="001B0367"/>
    <w:rsid w:val="001B0984"/>
    <w:rsid w:val="001B4323"/>
    <w:rsid w:val="001B4627"/>
    <w:rsid w:val="001B46FC"/>
    <w:rsid w:val="001B4801"/>
    <w:rsid w:val="001B4BB8"/>
    <w:rsid w:val="001C0BBE"/>
    <w:rsid w:val="001C0C9F"/>
    <w:rsid w:val="001C30EB"/>
    <w:rsid w:val="001C34A5"/>
    <w:rsid w:val="001C74E7"/>
    <w:rsid w:val="001C7512"/>
    <w:rsid w:val="001C7B0F"/>
    <w:rsid w:val="001D37C9"/>
    <w:rsid w:val="001D38BF"/>
    <w:rsid w:val="001D7BDA"/>
    <w:rsid w:val="001D7EFE"/>
    <w:rsid w:val="001E0136"/>
    <w:rsid w:val="001E35E3"/>
    <w:rsid w:val="001E4DEB"/>
    <w:rsid w:val="001E714B"/>
    <w:rsid w:val="001F209C"/>
    <w:rsid w:val="001F2D3B"/>
    <w:rsid w:val="001F30FD"/>
    <w:rsid w:val="001F5F17"/>
    <w:rsid w:val="00201B1C"/>
    <w:rsid w:val="00201EDF"/>
    <w:rsid w:val="002028BC"/>
    <w:rsid w:val="00204818"/>
    <w:rsid w:val="00206F25"/>
    <w:rsid w:val="002110C0"/>
    <w:rsid w:val="00211911"/>
    <w:rsid w:val="00212BD5"/>
    <w:rsid w:val="00212FA2"/>
    <w:rsid w:val="00213570"/>
    <w:rsid w:val="0021357B"/>
    <w:rsid w:val="00214F62"/>
    <w:rsid w:val="0021539C"/>
    <w:rsid w:val="002166D9"/>
    <w:rsid w:val="00216A06"/>
    <w:rsid w:val="00222435"/>
    <w:rsid w:val="00223D19"/>
    <w:rsid w:val="00224E49"/>
    <w:rsid w:val="002270ED"/>
    <w:rsid w:val="00227FB1"/>
    <w:rsid w:val="00230A25"/>
    <w:rsid w:val="002335D2"/>
    <w:rsid w:val="002366A2"/>
    <w:rsid w:val="00240384"/>
    <w:rsid w:val="00240A75"/>
    <w:rsid w:val="00243B62"/>
    <w:rsid w:val="00243CB0"/>
    <w:rsid w:val="00246EA4"/>
    <w:rsid w:val="00251369"/>
    <w:rsid w:val="002513DD"/>
    <w:rsid w:val="002533B8"/>
    <w:rsid w:val="00254443"/>
    <w:rsid w:val="00255831"/>
    <w:rsid w:val="00255B83"/>
    <w:rsid w:val="00262465"/>
    <w:rsid w:val="00265E3E"/>
    <w:rsid w:val="002666AC"/>
    <w:rsid w:val="00266E25"/>
    <w:rsid w:val="00270780"/>
    <w:rsid w:val="0027216F"/>
    <w:rsid w:val="00273E59"/>
    <w:rsid w:val="002751EE"/>
    <w:rsid w:val="00276F45"/>
    <w:rsid w:val="00277BDE"/>
    <w:rsid w:val="00277FCC"/>
    <w:rsid w:val="00280A42"/>
    <w:rsid w:val="00281C00"/>
    <w:rsid w:val="002862A5"/>
    <w:rsid w:val="00287FB7"/>
    <w:rsid w:val="002900C0"/>
    <w:rsid w:val="00291FE5"/>
    <w:rsid w:val="00292AD6"/>
    <w:rsid w:val="00295940"/>
    <w:rsid w:val="002A3E80"/>
    <w:rsid w:val="002A517F"/>
    <w:rsid w:val="002A54D2"/>
    <w:rsid w:val="002A5823"/>
    <w:rsid w:val="002A660C"/>
    <w:rsid w:val="002B03E7"/>
    <w:rsid w:val="002B0F23"/>
    <w:rsid w:val="002B2A84"/>
    <w:rsid w:val="002B54A6"/>
    <w:rsid w:val="002B5E10"/>
    <w:rsid w:val="002B6885"/>
    <w:rsid w:val="002B7C11"/>
    <w:rsid w:val="002B7FE0"/>
    <w:rsid w:val="002C058B"/>
    <w:rsid w:val="002C1A16"/>
    <w:rsid w:val="002C3DD6"/>
    <w:rsid w:val="002C4241"/>
    <w:rsid w:val="002C629E"/>
    <w:rsid w:val="002D19FF"/>
    <w:rsid w:val="002D3E93"/>
    <w:rsid w:val="002D40D8"/>
    <w:rsid w:val="002D6C8F"/>
    <w:rsid w:val="002D7BA8"/>
    <w:rsid w:val="002E00BB"/>
    <w:rsid w:val="002E07F4"/>
    <w:rsid w:val="002E2995"/>
    <w:rsid w:val="002E6C2F"/>
    <w:rsid w:val="002E6D11"/>
    <w:rsid w:val="002F03ED"/>
    <w:rsid w:val="002F2F51"/>
    <w:rsid w:val="002F31C6"/>
    <w:rsid w:val="002F4B75"/>
    <w:rsid w:val="002F4DCF"/>
    <w:rsid w:val="002F55D2"/>
    <w:rsid w:val="002F6091"/>
    <w:rsid w:val="003001C7"/>
    <w:rsid w:val="003006E2"/>
    <w:rsid w:val="0030082D"/>
    <w:rsid w:val="003011B7"/>
    <w:rsid w:val="00301B1A"/>
    <w:rsid w:val="00303ED4"/>
    <w:rsid w:val="00306C74"/>
    <w:rsid w:val="00315B00"/>
    <w:rsid w:val="00320779"/>
    <w:rsid w:val="00320F46"/>
    <w:rsid w:val="00321BD3"/>
    <w:rsid w:val="00322389"/>
    <w:rsid w:val="003236C5"/>
    <w:rsid w:val="0032540D"/>
    <w:rsid w:val="00325F71"/>
    <w:rsid w:val="00326F0C"/>
    <w:rsid w:val="00327A98"/>
    <w:rsid w:val="00331377"/>
    <w:rsid w:val="00335254"/>
    <w:rsid w:val="00335349"/>
    <w:rsid w:val="003432F5"/>
    <w:rsid w:val="00343456"/>
    <w:rsid w:val="003434FD"/>
    <w:rsid w:val="003467BA"/>
    <w:rsid w:val="003477FE"/>
    <w:rsid w:val="00347F22"/>
    <w:rsid w:val="00350FEC"/>
    <w:rsid w:val="00351552"/>
    <w:rsid w:val="003517B9"/>
    <w:rsid w:val="00352E4F"/>
    <w:rsid w:val="00353EA5"/>
    <w:rsid w:val="00355170"/>
    <w:rsid w:val="00356038"/>
    <w:rsid w:val="00356F35"/>
    <w:rsid w:val="00361351"/>
    <w:rsid w:val="003643FB"/>
    <w:rsid w:val="0036640D"/>
    <w:rsid w:val="00367890"/>
    <w:rsid w:val="00367EC6"/>
    <w:rsid w:val="00372996"/>
    <w:rsid w:val="003743FE"/>
    <w:rsid w:val="00374FEF"/>
    <w:rsid w:val="00376282"/>
    <w:rsid w:val="00382F2D"/>
    <w:rsid w:val="00383FC3"/>
    <w:rsid w:val="00384316"/>
    <w:rsid w:val="00385263"/>
    <w:rsid w:val="003853B3"/>
    <w:rsid w:val="003905C0"/>
    <w:rsid w:val="00390E39"/>
    <w:rsid w:val="00392AA2"/>
    <w:rsid w:val="00392B3A"/>
    <w:rsid w:val="00395729"/>
    <w:rsid w:val="00397894"/>
    <w:rsid w:val="003A1B16"/>
    <w:rsid w:val="003A2238"/>
    <w:rsid w:val="003A2F3C"/>
    <w:rsid w:val="003A75D8"/>
    <w:rsid w:val="003B085E"/>
    <w:rsid w:val="003B0931"/>
    <w:rsid w:val="003B4C43"/>
    <w:rsid w:val="003B5C64"/>
    <w:rsid w:val="003B6F5F"/>
    <w:rsid w:val="003B710A"/>
    <w:rsid w:val="003C27E2"/>
    <w:rsid w:val="003C404A"/>
    <w:rsid w:val="003C4265"/>
    <w:rsid w:val="003C7640"/>
    <w:rsid w:val="003D08FC"/>
    <w:rsid w:val="003D0B48"/>
    <w:rsid w:val="003D0CD3"/>
    <w:rsid w:val="003D12AB"/>
    <w:rsid w:val="003D2ED0"/>
    <w:rsid w:val="003D2FF0"/>
    <w:rsid w:val="003D4688"/>
    <w:rsid w:val="003D65C1"/>
    <w:rsid w:val="003E1BA0"/>
    <w:rsid w:val="003E352B"/>
    <w:rsid w:val="003E59A0"/>
    <w:rsid w:val="003E60D6"/>
    <w:rsid w:val="003F0AAC"/>
    <w:rsid w:val="003F254C"/>
    <w:rsid w:val="003F27D8"/>
    <w:rsid w:val="003F4BE7"/>
    <w:rsid w:val="003F5CDA"/>
    <w:rsid w:val="003F646E"/>
    <w:rsid w:val="00400DED"/>
    <w:rsid w:val="00401108"/>
    <w:rsid w:val="00401B08"/>
    <w:rsid w:val="00402557"/>
    <w:rsid w:val="004049D4"/>
    <w:rsid w:val="00405856"/>
    <w:rsid w:val="004136F5"/>
    <w:rsid w:val="00415003"/>
    <w:rsid w:val="00415443"/>
    <w:rsid w:val="00420C68"/>
    <w:rsid w:val="00421D5D"/>
    <w:rsid w:val="00423503"/>
    <w:rsid w:val="004257DD"/>
    <w:rsid w:val="00425B00"/>
    <w:rsid w:val="00425C8E"/>
    <w:rsid w:val="00430413"/>
    <w:rsid w:val="00430617"/>
    <w:rsid w:val="00430A1B"/>
    <w:rsid w:val="00430D24"/>
    <w:rsid w:val="004320A8"/>
    <w:rsid w:val="00434EB7"/>
    <w:rsid w:val="00436300"/>
    <w:rsid w:val="0044216D"/>
    <w:rsid w:val="00444BDF"/>
    <w:rsid w:val="00445374"/>
    <w:rsid w:val="0044631D"/>
    <w:rsid w:val="004478B6"/>
    <w:rsid w:val="00450046"/>
    <w:rsid w:val="004500C1"/>
    <w:rsid w:val="00452F56"/>
    <w:rsid w:val="00453A66"/>
    <w:rsid w:val="0045427D"/>
    <w:rsid w:val="004550DD"/>
    <w:rsid w:val="00457BBD"/>
    <w:rsid w:val="00460DDC"/>
    <w:rsid w:val="00461815"/>
    <w:rsid w:val="00461FB3"/>
    <w:rsid w:val="004623B2"/>
    <w:rsid w:val="004665B1"/>
    <w:rsid w:val="00467A05"/>
    <w:rsid w:val="0047038D"/>
    <w:rsid w:val="0047074B"/>
    <w:rsid w:val="00473097"/>
    <w:rsid w:val="00473462"/>
    <w:rsid w:val="004736D2"/>
    <w:rsid w:val="00473BA3"/>
    <w:rsid w:val="00474883"/>
    <w:rsid w:val="00474F5C"/>
    <w:rsid w:val="004756B1"/>
    <w:rsid w:val="00476E6C"/>
    <w:rsid w:val="00477732"/>
    <w:rsid w:val="00480279"/>
    <w:rsid w:val="00480CDA"/>
    <w:rsid w:val="0048101B"/>
    <w:rsid w:val="00481B60"/>
    <w:rsid w:val="00483B37"/>
    <w:rsid w:val="00485A8D"/>
    <w:rsid w:val="00485EA2"/>
    <w:rsid w:val="0048789D"/>
    <w:rsid w:val="00493C67"/>
    <w:rsid w:val="00495246"/>
    <w:rsid w:val="00495E0B"/>
    <w:rsid w:val="004973FE"/>
    <w:rsid w:val="00497437"/>
    <w:rsid w:val="00497D45"/>
    <w:rsid w:val="004A1FC9"/>
    <w:rsid w:val="004A56AD"/>
    <w:rsid w:val="004A62E2"/>
    <w:rsid w:val="004A6FCC"/>
    <w:rsid w:val="004A7D51"/>
    <w:rsid w:val="004B0EC5"/>
    <w:rsid w:val="004B5480"/>
    <w:rsid w:val="004B5485"/>
    <w:rsid w:val="004B5B2F"/>
    <w:rsid w:val="004B706A"/>
    <w:rsid w:val="004C2919"/>
    <w:rsid w:val="004C3592"/>
    <w:rsid w:val="004C42A5"/>
    <w:rsid w:val="004C7799"/>
    <w:rsid w:val="004C7E8D"/>
    <w:rsid w:val="004D1584"/>
    <w:rsid w:val="004D5A88"/>
    <w:rsid w:val="004D7374"/>
    <w:rsid w:val="004E16DE"/>
    <w:rsid w:val="004E2CE3"/>
    <w:rsid w:val="004E38D6"/>
    <w:rsid w:val="004E3FAA"/>
    <w:rsid w:val="004E4626"/>
    <w:rsid w:val="004E5536"/>
    <w:rsid w:val="004E6246"/>
    <w:rsid w:val="004E77C2"/>
    <w:rsid w:val="004F02B5"/>
    <w:rsid w:val="004F366C"/>
    <w:rsid w:val="004F4C64"/>
    <w:rsid w:val="004F5707"/>
    <w:rsid w:val="004F5774"/>
    <w:rsid w:val="004F5A93"/>
    <w:rsid w:val="004F67E8"/>
    <w:rsid w:val="005052EA"/>
    <w:rsid w:val="0050553B"/>
    <w:rsid w:val="00506630"/>
    <w:rsid w:val="00506D63"/>
    <w:rsid w:val="0051542D"/>
    <w:rsid w:val="00515912"/>
    <w:rsid w:val="00515B08"/>
    <w:rsid w:val="00517CE4"/>
    <w:rsid w:val="00517EB2"/>
    <w:rsid w:val="00520903"/>
    <w:rsid w:val="005210F7"/>
    <w:rsid w:val="00522EC5"/>
    <w:rsid w:val="00524343"/>
    <w:rsid w:val="00525F7C"/>
    <w:rsid w:val="00525F84"/>
    <w:rsid w:val="00530260"/>
    <w:rsid w:val="005323E2"/>
    <w:rsid w:val="005328B4"/>
    <w:rsid w:val="00534056"/>
    <w:rsid w:val="00534171"/>
    <w:rsid w:val="00536342"/>
    <w:rsid w:val="0053745E"/>
    <w:rsid w:val="0054003A"/>
    <w:rsid w:val="00541771"/>
    <w:rsid w:val="00544B5A"/>
    <w:rsid w:val="00544BF3"/>
    <w:rsid w:val="005457C3"/>
    <w:rsid w:val="00546FC5"/>
    <w:rsid w:val="00547615"/>
    <w:rsid w:val="00547F2A"/>
    <w:rsid w:val="0055252D"/>
    <w:rsid w:val="0055341F"/>
    <w:rsid w:val="00554A71"/>
    <w:rsid w:val="00555077"/>
    <w:rsid w:val="005552A8"/>
    <w:rsid w:val="00556763"/>
    <w:rsid w:val="00556E60"/>
    <w:rsid w:val="00560A77"/>
    <w:rsid w:val="00561657"/>
    <w:rsid w:val="00561939"/>
    <w:rsid w:val="00561C9C"/>
    <w:rsid w:val="005624F5"/>
    <w:rsid w:val="0056360A"/>
    <w:rsid w:val="00563B1C"/>
    <w:rsid w:val="005646D4"/>
    <w:rsid w:val="00564F6A"/>
    <w:rsid w:val="00566705"/>
    <w:rsid w:val="00570621"/>
    <w:rsid w:val="00571344"/>
    <w:rsid w:val="00571577"/>
    <w:rsid w:val="00572C3C"/>
    <w:rsid w:val="00572CC1"/>
    <w:rsid w:val="00573164"/>
    <w:rsid w:val="00573847"/>
    <w:rsid w:val="0057392F"/>
    <w:rsid w:val="00574D6C"/>
    <w:rsid w:val="005809C3"/>
    <w:rsid w:val="00590778"/>
    <w:rsid w:val="005918B7"/>
    <w:rsid w:val="005948FC"/>
    <w:rsid w:val="00594A54"/>
    <w:rsid w:val="00594D2D"/>
    <w:rsid w:val="00595497"/>
    <w:rsid w:val="00596E46"/>
    <w:rsid w:val="00597487"/>
    <w:rsid w:val="005A0779"/>
    <w:rsid w:val="005A1535"/>
    <w:rsid w:val="005A25E7"/>
    <w:rsid w:val="005A2B62"/>
    <w:rsid w:val="005A37CF"/>
    <w:rsid w:val="005A73C7"/>
    <w:rsid w:val="005B0168"/>
    <w:rsid w:val="005B07CA"/>
    <w:rsid w:val="005B0B2C"/>
    <w:rsid w:val="005B2783"/>
    <w:rsid w:val="005B2FF1"/>
    <w:rsid w:val="005B6CA3"/>
    <w:rsid w:val="005C024C"/>
    <w:rsid w:val="005C081D"/>
    <w:rsid w:val="005C63D9"/>
    <w:rsid w:val="005C66D1"/>
    <w:rsid w:val="005C6C4B"/>
    <w:rsid w:val="005C7EF5"/>
    <w:rsid w:val="005D1C3B"/>
    <w:rsid w:val="005D2071"/>
    <w:rsid w:val="005D2CCB"/>
    <w:rsid w:val="005D40D9"/>
    <w:rsid w:val="005D5F70"/>
    <w:rsid w:val="005D6475"/>
    <w:rsid w:val="005D74EB"/>
    <w:rsid w:val="005D7AB2"/>
    <w:rsid w:val="005E2A4A"/>
    <w:rsid w:val="005E5ADA"/>
    <w:rsid w:val="005E7907"/>
    <w:rsid w:val="005E79AB"/>
    <w:rsid w:val="005F2B6F"/>
    <w:rsid w:val="005F45EB"/>
    <w:rsid w:val="005F4B27"/>
    <w:rsid w:val="0060135C"/>
    <w:rsid w:val="0060166A"/>
    <w:rsid w:val="0060174B"/>
    <w:rsid w:val="006108C5"/>
    <w:rsid w:val="006152FB"/>
    <w:rsid w:val="00615F30"/>
    <w:rsid w:val="00622974"/>
    <w:rsid w:val="00622F14"/>
    <w:rsid w:val="00623732"/>
    <w:rsid w:val="00625515"/>
    <w:rsid w:val="00627E78"/>
    <w:rsid w:val="006308F5"/>
    <w:rsid w:val="00630B49"/>
    <w:rsid w:val="00632C02"/>
    <w:rsid w:val="0063386D"/>
    <w:rsid w:val="006350F8"/>
    <w:rsid w:val="006354F9"/>
    <w:rsid w:val="00636323"/>
    <w:rsid w:val="006402E3"/>
    <w:rsid w:val="00642150"/>
    <w:rsid w:val="006425B8"/>
    <w:rsid w:val="00642A30"/>
    <w:rsid w:val="006447A6"/>
    <w:rsid w:val="00644C67"/>
    <w:rsid w:val="00651E1C"/>
    <w:rsid w:val="00653C72"/>
    <w:rsid w:val="0065678C"/>
    <w:rsid w:val="00661ADE"/>
    <w:rsid w:val="006669A5"/>
    <w:rsid w:val="00666FE9"/>
    <w:rsid w:val="00667A5E"/>
    <w:rsid w:val="00670022"/>
    <w:rsid w:val="006712B5"/>
    <w:rsid w:val="00671627"/>
    <w:rsid w:val="00674060"/>
    <w:rsid w:val="006750CC"/>
    <w:rsid w:val="00675300"/>
    <w:rsid w:val="006806D9"/>
    <w:rsid w:val="006813B5"/>
    <w:rsid w:val="00681E67"/>
    <w:rsid w:val="006820CD"/>
    <w:rsid w:val="00682807"/>
    <w:rsid w:val="0068641E"/>
    <w:rsid w:val="00687D44"/>
    <w:rsid w:val="00693465"/>
    <w:rsid w:val="006935FA"/>
    <w:rsid w:val="0069444A"/>
    <w:rsid w:val="00694C81"/>
    <w:rsid w:val="006A1266"/>
    <w:rsid w:val="006A3B1A"/>
    <w:rsid w:val="006A4EC0"/>
    <w:rsid w:val="006A4FA8"/>
    <w:rsid w:val="006A52F0"/>
    <w:rsid w:val="006A7803"/>
    <w:rsid w:val="006B1B0B"/>
    <w:rsid w:val="006B31A8"/>
    <w:rsid w:val="006B3CB2"/>
    <w:rsid w:val="006B3F05"/>
    <w:rsid w:val="006B7C6C"/>
    <w:rsid w:val="006B7E45"/>
    <w:rsid w:val="006C4953"/>
    <w:rsid w:val="006C7AF0"/>
    <w:rsid w:val="006D0322"/>
    <w:rsid w:val="006D08EF"/>
    <w:rsid w:val="006D19D9"/>
    <w:rsid w:val="006D21EB"/>
    <w:rsid w:val="006D25B6"/>
    <w:rsid w:val="006D320A"/>
    <w:rsid w:val="006D51FF"/>
    <w:rsid w:val="006D7F31"/>
    <w:rsid w:val="006E04FB"/>
    <w:rsid w:val="006E3959"/>
    <w:rsid w:val="006E468D"/>
    <w:rsid w:val="006E4EC2"/>
    <w:rsid w:val="006F06F8"/>
    <w:rsid w:val="006F2C39"/>
    <w:rsid w:val="006F5629"/>
    <w:rsid w:val="006F6C30"/>
    <w:rsid w:val="006F7354"/>
    <w:rsid w:val="00702CAF"/>
    <w:rsid w:val="0070737D"/>
    <w:rsid w:val="00710BE7"/>
    <w:rsid w:val="007111C0"/>
    <w:rsid w:val="00711D18"/>
    <w:rsid w:val="00713BE3"/>
    <w:rsid w:val="00714A56"/>
    <w:rsid w:val="007161BC"/>
    <w:rsid w:val="00717C52"/>
    <w:rsid w:val="00720D80"/>
    <w:rsid w:val="007217A7"/>
    <w:rsid w:val="007218F5"/>
    <w:rsid w:val="00721CFE"/>
    <w:rsid w:val="00722D3D"/>
    <w:rsid w:val="00726059"/>
    <w:rsid w:val="00726180"/>
    <w:rsid w:val="00731BC1"/>
    <w:rsid w:val="007334C2"/>
    <w:rsid w:val="007351C0"/>
    <w:rsid w:val="007379A4"/>
    <w:rsid w:val="00737A68"/>
    <w:rsid w:val="00741FF8"/>
    <w:rsid w:val="007443FD"/>
    <w:rsid w:val="00744F4F"/>
    <w:rsid w:val="00745E1C"/>
    <w:rsid w:val="00745F3D"/>
    <w:rsid w:val="00747161"/>
    <w:rsid w:val="007507E6"/>
    <w:rsid w:val="007537CF"/>
    <w:rsid w:val="007537F0"/>
    <w:rsid w:val="00753915"/>
    <w:rsid w:val="00753940"/>
    <w:rsid w:val="00755A21"/>
    <w:rsid w:val="00756756"/>
    <w:rsid w:val="00756781"/>
    <w:rsid w:val="00757D63"/>
    <w:rsid w:val="00763014"/>
    <w:rsid w:val="00763E03"/>
    <w:rsid w:val="007660AB"/>
    <w:rsid w:val="00767188"/>
    <w:rsid w:val="00767DE1"/>
    <w:rsid w:val="007711C8"/>
    <w:rsid w:val="00771840"/>
    <w:rsid w:val="00771B02"/>
    <w:rsid w:val="00772BE1"/>
    <w:rsid w:val="00774BF0"/>
    <w:rsid w:val="007766C1"/>
    <w:rsid w:val="007778C9"/>
    <w:rsid w:val="007811F1"/>
    <w:rsid w:val="00781A54"/>
    <w:rsid w:val="00782CE3"/>
    <w:rsid w:val="0078548B"/>
    <w:rsid w:val="00790887"/>
    <w:rsid w:val="00792A30"/>
    <w:rsid w:val="007961B3"/>
    <w:rsid w:val="007A1829"/>
    <w:rsid w:val="007A1A63"/>
    <w:rsid w:val="007A22FC"/>
    <w:rsid w:val="007A30FF"/>
    <w:rsid w:val="007A3863"/>
    <w:rsid w:val="007A41DF"/>
    <w:rsid w:val="007A4D87"/>
    <w:rsid w:val="007A5ECD"/>
    <w:rsid w:val="007A67D5"/>
    <w:rsid w:val="007A6CC1"/>
    <w:rsid w:val="007B1F0E"/>
    <w:rsid w:val="007B2E09"/>
    <w:rsid w:val="007B3C8E"/>
    <w:rsid w:val="007B4527"/>
    <w:rsid w:val="007B4695"/>
    <w:rsid w:val="007B497D"/>
    <w:rsid w:val="007B6183"/>
    <w:rsid w:val="007B734F"/>
    <w:rsid w:val="007B7725"/>
    <w:rsid w:val="007B7F5D"/>
    <w:rsid w:val="007C07DC"/>
    <w:rsid w:val="007C45DC"/>
    <w:rsid w:val="007C481F"/>
    <w:rsid w:val="007C7520"/>
    <w:rsid w:val="007D1D6E"/>
    <w:rsid w:val="007D4339"/>
    <w:rsid w:val="007D438B"/>
    <w:rsid w:val="007D50BE"/>
    <w:rsid w:val="007D521F"/>
    <w:rsid w:val="007D651F"/>
    <w:rsid w:val="007D7291"/>
    <w:rsid w:val="007D7C26"/>
    <w:rsid w:val="007D7FDC"/>
    <w:rsid w:val="007E1D3F"/>
    <w:rsid w:val="007E68E8"/>
    <w:rsid w:val="007E791C"/>
    <w:rsid w:val="007F024B"/>
    <w:rsid w:val="007F110D"/>
    <w:rsid w:val="007F41D9"/>
    <w:rsid w:val="008007A1"/>
    <w:rsid w:val="008007F4"/>
    <w:rsid w:val="00802019"/>
    <w:rsid w:val="00803ECC"/>
    <w:rsid w:val="00804276"/>
    <w:rsid w:val="00804A8F"/>
    <w:rsid w:val="00805A4B"/>
    <w:rsid w:val="0080614B"/>
    <w:rsid w:val="008063EB"/>
    <w:rsid w:val="00813E84"/>
    <w:rsid w:val="008155FA"/>
    <w:rsid w:val="00820FFB"/>
    <w:rsid w:val="00822C81"/>
    <w:rsid w:val="008236D9"/>
    <w:rsid w:val="00824B70"/>
    <w:rsid w:val="008261AC"/>
    <w:rsid w:val="00826BEF"/>
    <w:rsid w:val="00833DAF"/>
    <w:rsid w:val="008376CF"/>
    <w:rsid w:val="00837C28"/>
    <w:rsid w:val="0084196F"/>
    <w:rsid w:val="00843EBE"/>
    <w:rsid w:val="00844953"/>
    <w:rsid w:val="00845A08"/>
    <w:rsid w:val="00851366"/>
    <w:rsid w:val="00853170"/>
    <w:rsid w:val="00854C34"/>
    <w:rsid w:val="00855449"/>
    <w:rsid w:val="008557BB"/>
    <w:rsid w:val="0085585C"/>
    <w:rsid w:val="00855F29"/>
    <w:rsid w:val="00860DF3"/>
    <w:rsid w:val="0086343C"/>
    <w:rsid w:val="0086413B"/>
    <w:rsid w:val="008653D6"/>
    <w:rsid w:val="00866439"/>
    <w:rsid w:val="00866514"/>
    <w:rsid w:val="0087081F"/>
    <w:rsid w:val="0087391F"/>
    <w:rsid w:val="00874F90"/>
    <w:rsid w:val="008769CD"/>
    <w:rsid w:val="008813E3"/>
    <w:rsid w:val="008851D3"/>
    <w:rsid w:val="008852DD"/>
    <w:rsid w:val="00885715"/>
    <w:rsid w:val="00885B68"/>
    <w:rsid w:val="00885D74"/>
    <w:rsid w:val="00887217"/>
    <w:rsid w:val="00887708"/>
    <w:rsid w:val="00890F5C"/>
    <w:rsid w:val="00890FA9"/>
    <w:rsid w:val="00892EE6"/>
    <w:rsid w:val="00894F70"/>
    <w:rsid w:val="0089590E"/>
    <w:rsid w:val="00895E22"/>
    <w:rsid w:val="008979FC"/>
    <w:rsid w:val="00897BD0"/>
    <w:rsid w:val="008A3331"/>
    <w:rsid w:val="008A3BE1"/>
    <w:rsid w:val="008A4877"/>
    <w:rsid w:val="008A6312"/>
    <w:rsid w:val="008A75F8"/>
    <w:rsid w:val="008B00D4"/>
    <w:rsid w:val="008B0712"/>
    <w:rsid w:val="008B1664"/>
    <w:rsid w:val="008B1915"/>
    <w:rsid w:val="008B29F1"/>
    <w:rsid w:val="008B2FAD"/>
    <w:rsid w:val="008B530B"/>
    <w:rsid w:val="008B6D24"/>
    <w:rsid w:val="008B73B1"/>
    <w:rsid w:val="008B7C70"/>
    <w:rsid w:val="008B7F5A"/>
    <w:rsid w:val="008C11C9"/>
    <w:rsid w:val="008C1FC3"/>
    <w:rsid w:val="008C2136"/>
    <w:rsid w:val="008C3074"/>
    <w:rsid w:val="008C3BB0"/>
    <w:rsid w:val="008D106D"/>
    <w:rsid w:val="008D2097"/>
    <w:rsid w:val="008D48C4"/>
    <w:rsid w:val="008D5125"/>
    <w:rsid w:val="008E1762"/>
    <w:rsid w:val="008E1F9D"/>
    <w:rsid w:val="008E2A3F"/>
    <w:rsid w:val="008E6216"/>
    <w:rsid w:val="008F03FA"/>
    <w:rsid w:val="008F0E31"/>
    <w:rsid w:val="008F443C"/>
    <w:rsid w:val="008F4A60"/>
    <w:rsid w:val="008F4CEB"/>
    <w:rsid w:val="008F601B"/>
    <w:rsid w:val="008F7974"/>
    <w:rsid w:val="008F7F44"/>
    <w:rsid w:val="00900FB3"/>
    <w:rsid w:val="00903832"/>
    <w:rsid w:val="00910F45"/>
    <w:rsid w:val="009157D3"/>
    <w:rsid w:val="00915B7E"/>
    <w:rsid w:val="00920795"/>
    <w:rsid w:val="009210FF"/>
    <w:rsid w:val="009218FF"/>
    <w:rsid w:val="00925A9F"/>
    <w:rsid w:val="00926708"/>
    <w:rsid w:val="00926BFE"/>
    <w:rsid w:val="009337FD"/>
    <w:rsid w:val="0093606A"/>
    <w:rsid w:val="00937B1B"/>
    <w:rsid w:val="00940DD2"/>
    <w:rsid w:val="0094189F"/>
    <w:rsid w:val="00941F05"/>
    <w:rsid w:val="0094237E"/>
    <w:rsid w:val="00942E4C"/>
    <w:rsid w:val="00944427"/>
    <w:rsid w:val="00945C84"/>
    <w:rsid w:val="009478D2"/>
    <w:rsid w:val="00951BEC"/>
    <w:rsid w:val="00954611"/>
    <w:rsid w:val="00954FB1"/>
    <w:rsid w:val="009557F8"/>
    <w:rsid w:val="00955925"/>
    <w:rsid w:val="00955C01"/>
    <w:rsid w:val="00957227"/>
    <w:rsid w:val="009603A2"/>
    <w:rsid w:val="0096363A"/>
    <w:rsid w:val="00964047"/>
    <w:rsid w:val="00964CFE"/>
    <w:rsid w:val="00965EA9"/>
    <w:rsid w:val="0096741A"/>
    <w:rsid w:val="0097011A"/>
    <w:rsid w:val="009718A7"/>
    <w:rsid w:val="00971A22"/>
    <w:rsid w:val="00973B46"/>
    <w:rsid w:val="00974323"/>
    <w:rsid w:val="009745EA"/>
    <w:rsid w:val="00975710"/>
    <w:rsid w:val="00975D10"/>
    <w:rsid w:val="00977870"/>
    <w:rsid w:val="00981384"/>
    <w:rsid w:val="00982E84"/>
    <w:rsid w:val="00985DDE"/>
    <w:rsid w:val="009877CB"/>
    <w:rsid w:val="009918F3"/>
    <w:rsid w:val="00995131"/>
    <w:rsid w:val="0099576F"/>
    <w:rsid w:val="0099666E"/>
    <w:rsid w:val="009A1055"/>
    <w:rsid w:val="009A51CD"/>
    <w:rsid w:val="009A58DC"/>
    <w:rsid w:val="009A7491"/>
    <w:rsid w:val="009B020A"/>
    <w:rsid w:val="009B285F"/>
    <w:rsid w:val="009B2CAC"/>
    <w:rsid w:val="009B6AFB"/>
    <w:rsid w:val="009B7D68"/>
    <w:rsid w:val="009C11D2"/>
    <w:rsid w:val="009C25D5"/>
    <w:rsid w:val="009C40B1"/>
    <w:rsid w:val="009C6F93"/>
    <w:rsid w:val="009C7EF1"/>
    <w:rsid w:val="009D11F0"/>
    <w:rsid w:val="009D22CA"/>
    <w:rsid w:val="009D28A3"/>
    <w:rsid w:val="009D4D9E"/>
    <w:rsid w:val="009D5117"/>
    <w:rsid w:val="009D5AE4"/>
    <w:rsid w:val="009D5C44"/>
    <w:rsid w:val="009D76FA"/>
    <w:rsid w:val="009E141C"/>
    <w:rsid w:val="009E461C"/>
    <w:rsid w:val="009E4E02"/>
    <w:rsid w:val="009E53ED"/>
    <w:rsid w:val="009E59B0"/>
    <w:rsid w:val="009F432B"/>
    <w:rsid w:val="009F51DE"/>
    <w:rsid w:val="00A00004"/>
    <w:rsid w:val="00A0107F"/>
    <w:rsid w:val="00A03F2F"/>
    <w:rsid w:val="00A04451"/>
    <w:rsid w:val="00A046B9"/>
    <w:rsid w:val="00A0561D"/>
    <w:rsid w:val="00A056F3"/>
    <w:rsid w:val="00A05B84"/>
    <w:rsid w:val="00A06E2C"/>
    <w:rsid w:val="00A11A00"/>
    <w:rsid w:val="00A125ED"/>
    <w:rsid w:val="00A126E6"/>
    <w:rsid w:val="00A132C5"/>
    <w:rsid w:val="00A15196"/>
    <w:rsid w:val="00A15E12"/>
    <w:rsid w:val="00A17E0F"/>
    <w:rsid w:val="00A17F68"/>
    <w:rsid w:val="00A17FB5"/>
    <w:rsid w:val="00A20578"/>
    <w:rsid w:val="00A20999"/>
    <w:rsid w:val="00A222B4"/>
    <w:rsid w:val="00A236E2"/>
    <w:rsid w:val="00A26119"/>
    <w:rsid w:val="00A30801"/>
    <w:rsid w:val="00A31541"/>
    <w:rsid w:val="00A3413E"/>
    <w:rsid w:val="00A34D52"/>
    <w:rsid w:val="00A35670"/>
    <w:rsid w:val="00A35C35"/>
    <w:rsid w:val="00A368EA"/>
    <w:rsid w:val="00A4015B"/>
    <w:rsid w:val="00A423AF"/>
    <w:rsid w:val="00A45B53"/>
    <w:rsid w:val="00A46FFD"/>
    <w:rsid w:val="00A50395"/>
    <w:rsid w:val="00A50904"/>
    <w:rsid w:val="00A50F45"/>
    <w:rsid w:val="00A52A49"/>
    <w:rsid w:val="00A52AD6"/>
    <w:rsid w:val="00A553D1"/>
    <w:rsid w:val="00A5567D"/>
    <w:rsid w:val="00A60822"/>
    <w:rsid w:val="00A619E1"/>
    <w:rsid w:val="00A65589"/>
    <w:rsid w:val="00A66A07"/>
    <w:rsid w:val="00A66ABA"/>
    <w:rsid w:val="00A732E8"/>
    <w:rsid w:val="00A75D99"/>
    <w:rsid w:val="00A8082E"/>
    <w:rsid w:val="00A80AE4"/>
    <w:rsid w:val="00A82E82"/>
    <w:rsid w:val="00A84842"/>
    <w:rsid w:val="00A85119"/>
    <w:rsid w:val="00A8719F"/>
    <w:rsid w:val="00A91776"/>
    <w:rsid w:val="00A91B88"/>
    <w:rsid w:val="00A93FE6"/>
    <w:rsid w:val="00A949A1"/>
    <w:rsid w:val="00A949F5"/>
    <w:rsid w:val="00A9703A"/>
    <w:rsid w:val="00AA0A7A"/>
    <w:rsid w:val="00AA1B19"/>
    <w:rsid w:val="00AA25EC"/>
    <w:rsid w:val="00AA7E39"/>
    <w:rsid w:val="00AB17A2"/>
    <w:rsid w:val="00AB357E"/>
    <w:rsid w:val="00AB35E8"/>
    <w:rsid w:val="00AB3CDA"/>
    <w:rsid w:val="00AB478E"/>
    <w:rsid w:val="00AB4F22"/>
    <w:rsid w:val="00AB642B"/>
    <w:rsid w:val="00AB643F"/>
    <w:rsid w:val="00AB772E"/>
    <w:rsid w:val="00AC20BC"/>
    <w:rsid w:val="00AC3A6F"/>
    <w:rsid w:val="00AD04E8"/>
    <w:rsid w:val="00AD06DC"/>
    <w:rsid w:val="00AD1F1A"/>
    <w:rsid w:val="00AD3FAD"/>
    <w:rsid w:val="00AD6DE8"/>
    <w:rsid w:val="00AD7618"/>
    <w:rsid w:val="00AD7D12"/>
    <w:rsid w:val="00AE0510"/>
    <w:rsid w:val="00AE0736"/>
    <w:rsid w:val="00AE22D6"/>
    <w:rsid w:val="00AE45DC"/>
    <w:rsid w:val="00AE5FDD"/>
    <w:rsid w:val="00AE6155"/>
    <w:rsid w:val="00AE6C46"/>
    <w:rsid w:val="00AE6DF2"/>
    <w:rsid w:val="00AE7EA1"/>
    <w:rsid w:val="00AF165D"/>
    <w:rsid w:val="00AF5A4A"/>
    <w:rsid w:val="00B02FB1"/>
    <w:rsid w:val="00B06598"/>
    <w:rsid w:val="00B06D70"/>
    <w:rsid w:val="00B114F9"/>
    <w:rsid w:val="00B1276A"/>
    <w:rsid w:val="00B13190"/>
    <w:rsid w:val="00B176D8"/>
    <w:rsid w:val="00B202DC"/>
    <w:rsid w:val="00B20775"/>
    <w:rsid w:val="00B22D05"/>
    <w:rsid w:val="00B238BD"/>
    <w:rsid w:val="00B245B1"/>
    <w:rsid w:val="00B30070"/>
    <w:rsid w:val="00B30A42"/>
    <w:rsid w:val="00B30BCA"/>
    <w:rsid w:val="00B36539"/>
    <w:rsid w:val="00B37E1B"/>
    <w:rsid w:val="00B41653"/>
    <w:rsid w:val="00B430C0"/>
    <w:rsid w:val="00B50A0C"/>
    <w:rsid w:val="00B522A5"/>
    <w:rsid w:val="00B5244D"/>
    <w:rsid w:val="00B5590D"/>
    <w:rsid w:val="00B55E06"/>
    <w:rsid w:val="00B56F74"/>
    <w:rsid w:val="00B6165D"/>
    <w:rsid w:val="00B66ECC"/>
    <w:rsid w:val="00B71526"/>
    <w:rsid w:val="00B7313C"/>
    <w:rsid w:val="00B737C6"/>
    <w:rsid w:val="00B7401A"/>
    <w:rsid w:val="00B77B75"/>
    <w:rsid w:val="00B811EE"/>
    <w:rsid w:val="00B81CCA"/>
    <w:rsid w:val="00B82463"/>
    <w:rsid w:val="00B835FB"/>
    <w:rsid w:val="00B83B2E"/>
    <w:rsid w:val="00B85B09"/>
    <w:rsid w:val="00B9047A"/>
    <w:rsid w:val="00B9145B"/>
    <w:rsid w:val="00B92A0D"/>
    <w:rsid w:val="00B9454B"/>
    <w:rsid w:val="00B94BF1"/>
    <w:rsid w:val="00B95626"/>
    <w:rsid w:val="00B95E4C"/>
    <w:rsid w:val="00B9624C"/>
    <w:rsid w:val="00B963B1"/>
    <w:rsid w:val="00B96A79"/>
    <w:rsid w:val="00B975E5"/>
    <w:rsid w:val="00BA006B"/>
    <w:rsid w:val="00BA054E"/>
    <w:rsid w:val="00BA0F57"/>
    <w:rsid w:val="00BA0F82"/>
    <w:rsid w:val="00BA1D88"/>
    <w:rsid w:val="00BA31E2"/>
    <w:rsid w:val="00BA39E1"/>
    <w:rsid w:val="00BA6A51"/>
    <w:rsid w:val="00BA74A8"/>
    <w:rsid w:val="00BB2659"/>
    <w:rsid w:val="00BB2A90"/>
    <w:rsid w:val="00BB3BC6"/>
    <w:rsid w:val="00BB6935"/>
    <w:rsid w:val="00BC10AC"/>
    <w:rsid w:val="00BC3299"/>
    <w:rsid w:val="00BC45E6"/>
    <w:rsid w:val="00BC55E8"/>
    <w:rsid w:val="00BC623C"/>
    <w:rsid w:val="00BC73DE"/>
    <w:rsid w:val="00BC7703"/>
    <w:rsid w:val="00BD1502"/>
    <w:rsid w:val="00BD7E7D"/>
    <w:rsid w:val="00BE11B4"/>
    <w:rsid w:val="00BE1B33"/>
    <w:rsid w:val="00BE54FD"/>
    <w:rsid w:val="00BE73D2"/>
    <w:rsid w:val="00BE7F6E"/>
    <w:rsid w:val="00BF04F4"/>
    <w:rsid w:val="00BF0F69"/>
    <w:rsid w:val="00BF2F95"/>
    <w:rsid w:val="00BF6A99"/>
    <w:rsid w:val="00C0086B"/>
    <w:rsid w:val="00C008D9"/>
    <w:rsid w:val="00C01A57"/>
    <w:rsid w:val="00C04A04"/>
    <w:rsid w:val="00C051B1"/>
    <w:rsid w:val="00C06F0A"/>
    <w:rsid w:val="00C110BD"/>
    <w:rsid w:val="00C13AD1"/>
    <w:rsid w:val="00C1416E"/>
    <w:rsid w:val="00C16602"/>
    <w:rsid w:val="00C16DB6"/>
    <w:rsid w:val="00C21B6F"/>
    <w:rsid w:val="00C2323A"/>
    <w:rsid w:val="00C27589"/>
    <w:rsid w:val="00C27882"/>
    <w:rsid w:val="00C27E4B"/>
    <w:rsid w:val="00C32579"/>
    <w:rsid w:val="00C32716"/>
    <w:rsid w:val="00C33FC8"/>
    <w:rsid w:val="00C34DAC"/>
    <w:rsid w:val="00C353AD"/>
    <w:rsid w:val="00C443ED"/>
    <w:rsid w:val="00C44EC5"/>
    <w:rsid w:val="00C4616E"/>
    <w:rsid w:val="00C4777F"/>
    <w:rsid w:val="00C50371"/>
    <w:rsid w:val="00C50F2C"/>
    <w:rsid w:val="00C51C56"/>
    <w:rsid w:val="00C525FF"/>
    <w:rsid w:val="00C54B65"/>
    <w:rsid w:val="00C55036"/>
    <w:rsid w:val="00C57E54"/>
    <w:rsid w:val="00C62D2E"/>
    <w:rsid w:val="00C63F9A"/>
    <w:rsid w:val="00C64319"/>
    <w:rsid w:val="00C65554"/>
    <w:rsid w:val="00C65EBC"/>
    <w:rsid w:val="00C66752"/>
    <w:rsid w:val="00C6676F"/>
    <w:rsid w:val="00C6684A"/>
    <w:rsid w:val="00C6690B"/>
    <w:rsid w:val="00C675C6"/>
    <w:rsid w:val="00C71A9C"/>
    <w:rsid w:val="00C7477C"/>
    <w:rsid w:val="00C748DA"/>
    <w:rsid w:val="00C74C31"/>
    <w:rsid w:val="00C75973"/>
    <w:rsid w:val="00C77434"/>
    <w:rsid w:val="00C80E34"/>
    <w:rsid w:val="00C85D81"/>
    <w:rsid w:val="00C87FEB"/>
    <w:rsid w:val="00C92CA3"/>
    <w:rsid w:val="00C949D7"/>
    <w:rsid w:val="00C9553A"/>
    <w:rsid w:val="00C95D22"/>
    <w:rsid w:val="00CA73EA"/>
    <w:rsid w:val="00CA7B33"/>
    <w:rsid w:val="00CB4BB9"/>
    <w:rsid w:val="00CB5E55"/>
    <w:rsid w:val="00CB63CA"/>
    <w:rsid w:val="00CB66D1"/>
    <w:rsid w:val="00CB6E93"/>
    <w:rsid w:val="00CB6EE6"/>
    <w:rsid w:val="00CC08DE"/>
    <w:rsid w:val="00CC0FF8"/>
    <w:rsid w:val="00CC1DB1"/>
    <w:rsid w:val="00CC3330"/>
    <w:rsid w:val="00CC61E3"/>
    <w:rsid w:val="00CC718A"/>
    <w:rsid w:val="00CC770C"/>
    <w:rsid w:val="00CD40EA"/>
    <w:rsid w:val="00CD548E"/>
    <w:rsid w:val="00CD726B"/>
    <w:rsid w:val="00CD78D6"/>
    <w:rsid w:val="00CD7D85"/>
    <w:rsid w:val="00CD7F59"/>
    <w:rsid w:val="00CE0380"/>
    <w:rsid w:val="00CE1FC7"/>
    <w:rsid w:val="00CE26CD"/>
    <w:rsid w:val="00CE3127"/>
    <w:rsid w:val="00CE4CFA"/>
    <w:rsid w:val="00CE78F4"/>
    <w:rsid w:val="00CF0AB8"/>
    <w:rsid w:val="00CF1D70"/>
    <w:rsid w:val="00CF2861"/>
    <w:rsid w:val="00CF2EEA"/>
    <w:rsid w:val="00CF39F3"/>
    <w:rsid w:val="00CF3F6D"/>
    <w:rsid w:val="00CF4693"/>
    <w:rsid w:val="00D002E4"/>
    <w:rsid w:val="00D00B4C"/>
    <w:rsid w:val="00D042C1"/>
    <w:rsid w:val="00D0475D"/>
    <w:rsid w:val="00D054A0"/>
    <w:rsid w:val="00D06113"/>
    <w:rsid w:val="00D06211"/>
    <w:rsid w:val="00D106D2"/>
    <w:rsid w:val="00D12C45"/>
    <w:rsid w:val="00D13DD5"/>
    <w:rsid w:val="00D14BFD"/>
    <w:rsid w:val="00D15630"/>
    <w:rsid w:val="00D156D2"/>
    <w:rsid w:val="00D172E1"/>
    <w:rsid w:val="00D17D77"/>
    <w:rsid w:val="00D2191D"/>
    <w:rsid w:val="00D2261B"/>
    <w:rsid w:val="00D2539C"/>
    <w:rsid w:val="00D2550F"/>
    <w:rsid w:val="00D25FD6"/>
    <w:rsid w:val="00D30907"/>
    <w:rsid w:val="00D32A19"/>
    <w:rsid w:val="00D37958"/>
    <w:rsid w:val="00D379E6"/>
    <w:rsid w:val="00D37C83"/>
    <w:rsid w:val="00D414A1"/>
    <w:rsid w:val="00D44035"/>
    <w:rsid w:val="00D443ED"/>
    <w:rsid w:val="00D44BE2"/>
    <w:rsid w:val="00D45889"/>
    <w:rsid w:val="00D45DE0"/>
    <w:rsid w:val="00D4703D"/>
    <w:rsid w:val="00D53140"/>
    <w:rsid w:val="00D557BC"/>
    <w:rsid w:val="00D57208"/>
    <w:rsid w:val="00D57C71"/>
    <w:rsid w:val="00D57CFE"/>
    <w:rsid w:val="00D60F3F"/>
    <w:rsid w:val="00D6100B"/>
    <w:rsid w:val="00D642B8"/>
    <w:rsid w:val="00D64705"/>
    <w:rsid w:val="00D666AC"/>
    <w:rsid w:val="00D667EE"/>
    <w:rsid w:val="00D7000D"/>
    <w:rsid w:val="00D71AF6"/>
    <w:rsid w:val="00D71FFD"/>
    <w:rsid w:val="00D73FCA"/>
    <w:rsid w:val="00D76562"/>
    <w:rsid w:val="00D772D2"/>
    <w:rsid w:val="00D84732"/>
    <w:rsid w:val="00D8486C"/>
    <w:rsid w:val="00D90215"/>
    <w:rsid w:val="00D90DC9"/>
    <w:rsid w:val="00D918DC"/>
    <w:rsid w:val="00D92EAD"/>
    <w:rsid w:val="00D9474F"/>
    <w:rsid w:val="00D947F9"/>
    <w:rsid w:val="00D9552F"/>
    <w:rsid w:val="00D955B4"/>
    <w:rsid w:val="00D97CC6"/>
    <w:rsid w:val="00DA075C"/>
    <w:rsid w:val="00DA1367"/>
    <w:rsid w:val="00DA33E6"/>
    <w:rsid w:val="00DA407D"/>
    <w:rsid w:val="00DA49A3"/>
    <w:rsid w:val="00DA4C2B"/>
    <w:rsid w:val="00DA78E1"/>
    <w:rsid w:val="00DA7DD2"/>
    <w:rsid w:val="00DB0786"/>
    <w:rsid w:val="00DB1075"/>
    <w:rsid w:val="00DB5679"/>
    <w:rsid w:val="00DB5901"/>
    <w:rsid w:val="00DC20A8"/>
    <w:rsid w:val="00DC2D3B"/>
    <w:rsid w:val="00DC6265"/>
    <w:rsid w:val="00DD0706"/>
    <w:rsid w:val="00DD07C8"/>
    <w:rsid w:val="00DD27C4"/>
    <w:rsid w:val="00DD298B"/>
    <w:rsid w:val="00DD31AA"/>
    <w:rsid w:val="00DD73DB"/>
    <w:rsid w:val="00DE0FF1"/>
    <w:rsid w:val="00DE26E6"/>
    <w:rsid w:val="00DE387A"/>
    <w:rsid w:val="00DE7D57"/>
    <w:rsid w:val="00DF2B08"/>
    <w:rsid w:val="00DF66F6"/>
    <w:rsid w:val="00E001D6"/>
    <w:rsid w:val="00E01817"/>
    <w:rsid w:val="00E01BFC"/>
    <w:rsid w:val="00E02557"/>
    <w:rsid w:val="00E02E2E"/>
    <w:rsid w:val="00E0671D"/>
    <w:rsid w:val="00E07C3D"/>
    <w:rsid w:val="00E11A18"/>
    <w:rsid w:val="00E14B8F"/>
    <w:rsid w:val="00E14BCA"/>
    <w:rsid w:val="00E14D18"/>
    <w:rsid w:val="00E21DB4"/>
    <w:rsid w:val="00E22123"/>
    <w:rsid w:val="00E231E8"/>
    <w:rsid w:val="00E234A9"/>
    <w:rsid w:val="00E24327"/>
    <w:rsid w:val="00E26E31"/>
    <w:rsid w:val="00E30289"/>
    <w:rsid w:val="00E30B28"/>
    <w:rsid w:val="00E316BA"/>
    <w:rsid w:val="00E3239B"/>
    <w:rsid w:val="00E32DC0"/>
    <w:rsid w:val="00E32E95"/>
    <w:rsid w:val="00E348EA"/>
    <w:rsid w:val="00E3581C"/>
    <w:rsid w:val="00E37BED"/>
    <w:rsid w:val="00E40F53"/>
    <w:rsid w:val="00E4380F"/>
    <w:rsid w:val="00E45826"/>
    <w:rsid w:val="00E46103"/>
    <w:rsid w:val="00E52045"/>
    <w:rsid w:val="00E52965"/>
    <w:rsid w:val="00E530BA"/>
    <w:rsid w:val="00E5450B"/>
    <w:rsid w:val="00E55366"/>
    <w:rsid w:val="00E565B2"/>
    <w:rsid w:val="00E5777D"/>
    <w:rsid w:val="00E61532"/>
    <w:rsid w:val="00E63FDD"/>
    <w:rsid w:val="00E65A83"/>
    <w:rsid w:val="00E65E59"/>
    <w:rsid w:val="00E706F4"/>
    <w:rsid w:val="00E7198E"/>
    <w:rsid w:val="00E72AAE"/>
    <w:rsid w:val="00E73069"/>
    <w:rsid w:val="00E76214"/>
    <w:rsid w:val="00E80B3B"/>
    <w:rsid w:val="00E829E4"/>
    <w:rsid w:val="00E83B88"/>
    <w:rsid w:val="00E8609C"/>
    <w:rsid w:val="00E910D3"/>
    <w:rsid w:val="00E9134D"/>
    <w:rsid w:val="00E92603"/>
    <w:rsid w:val="00E94747"/>
    <w:rsid w:val="00E95237"/>
    <w:rsid w:val="00E95D22"/>
    <w:rsid w:val="00E967EE"/>
    <w:rsid w:val="00E96B21"/>
    <w:rsid w:val="00E97697"/>
    <w:rsid w:val="00EA0C11"/>
    <w:rsid w:val="00EA1964"/>
    <w:rsid w:val="00EA1E0B"/>
    <w:rsid w:val="00EA21B0"/>
    <w:rsid w:val="00EA2CAE"/>
    <w:rsid w:val="00EA4363"/>
    <w:rsid w:val="00EA6943"/>
    <w:rsid w:val="00EB15F2"/>
    <w:rsid w:val="00EB170B"/>
    <w:rsid w:val="00EB3A02"/>
    <w:rsid w:val="00EB45CF"/>
    <w:rsid w:val="00EB56CE"/>
    <w:rsid w:val="00EB5B31"/>
    <w:rsid w:val="00EB6367"/>
    <w:rsid w:val="00EC001D"/>
    <w:rsid w:val="00EC05F0"/>
    <w:rsid w:val="00EC37AE"/>
    <w:rsid w:val="00EC5EBF"/>
    <w:rsid w:val="00EC7589"/>
    <w:rsid w:val="00ED2E4B"/>
    <w:rsid w:val="00ED4B30"/>
    <w:rsid w:val="00ED4F70"/>
    <w:rsid w:val="00ED61A6"/>
    <w:rsid w:val="00EE0C94"/>
    <w:rsid w:val="00EE15A5"/>
    <w:rsid w:val="00EE1841"/>
    <w:rsid w:val="00EE4337"/>
    <w:rsid w:val="00EE5BAC"/>
    <w:rsid w:val="00EF21E4"/>
    <w:rsid w:val="00EF2F91"/>
    <w:rsid w:val="00EF4646"/>
    <w:rsid w:val="00EF4B6F"/>
    <w:rsid w:val="00EF62D2"/>
    <w:rsid w:val="00EF7330"/>
    <w:rsid w:val="00F0016A"/>
    <w:rsid w:val="00F01C4E"/>
    <w:rsid w:val="00F037DB"/>
    <w:rsid w:val="00F044DC"/>
    <w:rsid w:val="00F0456D"/>
    <w:rsid w:val="00F0470C"/>
    <w:rsid w:val="00F05ACB"/>
    <w:rsid w:val="00F0705D"/>
    <w:rsid w:val="00F137CB"/>
    <w:rsid w:val="00F16571"/>
    <w:rsid w:val="00F178FA"/>
    <w:rsid w:val="00F17F0F"/>
    <w:rsid w:val="00F20B22"/>
    <w:rsid w:val="00F20C9C"/>
    <w:rsid w:val="00F24BD3"/>
    <w:rsid w:val="00F27428"/>
    <w:rsid w:val="00F27A7A"/>
    <w:rsid w:val="00F30639"/>
    <w:rsid w:val="00F30D22"/>
    <w:rsid w:val="00F30E70"/>
    <w:rsid w:val="00F32D52"/>
    <w:rsid w:val="00F33232"/>
    <w:rsid w:val="00F34343"/>
    <w:rsid w:val="00F34806"/>
    <w:rsid w:val="00F35CE9"/>
    <w:rsid w:val="00F47923"/>
    <w:rsid w:val="00F53C31"/>
    <w:rsid w:val="00F600EF"/>
    <w:rsid w:val="00F63F27"/>
    <w:rsid w:val="00F63FCA"/>
    <w:rsid w:val="00F64F2E"/>
    <w:rsid w:val="00F65894"/>
    <w:rsid w:val="00F672A2"/>
    <w:rsid w:val="00F72625"/>
    <w:rsid w:val="00F7284D"/>
    <w:rsid w:val="00F7298D"/>
    <w:rsid w:val="00F745DE"/>
    <w:rsid w:val="00F74952"/>
    <w:rsid w:val="00F75663"/>
    <w:rsid w:val="00F776C5"/>
    <w:rsid w:val="00F825BC"/>
    <w:rsid w:val="00F829FB"/>
    <w:rsid w:val="00F82D28"/>
    <w:rsid w:val="00F83A67"/>
    <w:rsid w:val="00F84196"/>
    <w:rsid w:val="00F84F79"/>
    <w:rsid w:val="00F85052"/>
    <w:rsid w:val="00F9013A"/>
    <w:rsid w:val="00F90CC9"/>
    <w:rsid w:val="00F91526"/>
    <w:rsid w:val="00F97F8E"/>
    <w:rsid w:val="00FA039A"/>
    <w:rsid w:val="00FA061D"/>
    <w:rsid w:val="00FA1256"/>
    <w:rsid w:val="00FA35DD"/>
    <w:rsid w:val="00FA36F1"/>
    <w:rsid w:val="00FA3907"/>
    <w:rsid w:val="00FA47EB"/>
    <w:rsid w:val="00FA685B"/>
    <w:rsid w:val="00FA74FB"/>
    <w:rsid w:val="00FB33D6"/>
    <w:rsid w:val="00FB34AA"/>
    <w:rsid w:val="00FB5A3B"/>
    <w:rsid w:val="00FB65AB"/>
    <w:rsid w:val="00FB67D5"/>
    <w:rsid w:val="00FC2E4E"/>
    <w:rsid w:val="00FC35C3"/>
    <w:rsid w:val="00FD20DF"/>
    <w:rsid w:val="00FD21F6"/>
    <w:rsid w:val="00FD285A"/>
    <w:rsid w:val="00FD3E94"/>
    <w:rsid w:val="00FD5757"/>
    <w:rsid w:val="00FD6182"/>
    <w:rsid w:val="00FD73DC"/>
    <w:rsid w:val="00FD7976"/>
    <w:rsid w:val="00FD7C4F"/>
    <w:rsid w:val="00FE0229"/>
    <w:rsid w:val="00FE0589"/>
    <w:rsid w:val="00FE100B"/>
    <w:rsid w:val="00FE1A65"/>
    <w:rsid w:val="00FE2427"/>
    <w:rsid w:val="00FE3DDA"/>
    <w:rsid w:val="00FE62BC"/>
    <w:rsid w:val="00FF0AFC"/>
    <w:rsid w:val="00FF0C6B"/>
    <w:rsid w:val="00FF592F"/>
    <w:rsid w:val="00FF6E5A"/>
    <w:rsid w:val="00FF7BAB"/>
    <w:rsid w:val="0A241A2B"/>
    <w:rsid w:val="106C0AFD"/>
    <w:rsid w:val="1AA10619"/>
    <w:rsid w:val="1BFF5FAE"/>
    <w:rsid w:val="20B3516A"/>
    <w:rsid w:val="22747C18"/>
    <w:rsid w:val="24AA048F"/>
    <w:rsid w:val="258B027F"/>
    <w:rsid w:val="25FB004F"/>
    <w:rsid w:val="267855EA"/>
    <w:rsid w:val="27FFD426"/>
    <w:rsid w:val="2FF677AC"/>
    <w:rsid w:val="31DD653C"/>
    <w:rsid w:val="360379FC"/>
    <w:rsid w:val="3BC7433A"/>
    <w:rsid w:val="3DB61616"/>
    <w:rsid w:val="3DE7674F"/>
    <w:rsid w:val="3E7FB69F"/>
    <w:rsid w:val="3EE701A1"/>
    <w:rsid w:val="3EFFEEF4"/>
    <w:rsid w:val="3FE4C4ED"/>
    <w:rsid w:val="41233ADD"/>
    <w:rsid w:val="43BC68BC"/>
    <w:rsid w:val="45A2581D"/>
    <w:rsid w:val="46DA57DC"/>
    <w:rsid w:val="593E0063"/>
    <w:rsid w:val="5BDD04DA"/>
    <w:rsid w:val="5BFF569B"/>
    <w:rsid w:val="5ECF6DF4"/>
    <w:rsid w:val="6B140E39"/>
    <w:rsid w:val="6B4FCCFA"/>
    <w:rsid w:val="6DFCA27B"/>
    <w:rsid w:val="6E914CA4"/>
    <w:rsid w:val="70662778"/>
    <w:rsid w:val="77696845"/>
    <w:rsid w:val="77E6BDB8"/>
    <w:rsid w:val="7A98567F"/>
    <w:rsid w:val="7AFF60C7"/>
    <w:rsid w:val="7B76976C"/>
    <w:rsid w:val="7DFD3637"/>
    <w:rsid w:val="7E3D5A71"/>
    <w:rsid w:val="7EE3CA7A"/>
    <w:rsid w:val="7EFF8C12"/>
    <w:rsid w:val="7F7AE063"/>
    <w:rsid w:val="7F9FB910"/>
    <w:rsid w:val="7FF79DB1"/>
    <w:rsid w:val="7FF97135"/>
    <w:rsid w:val="8BC7CA67"/>
    <w:rsid w:val="8FEE90DB"/>
    <w:rsid w:val="A1EA1C38"/>
    <w:rsid w:val="B7574C6F"/>
    <w:rsid w:val="B7CF805D"/>
    <w:rsid w:val="B7FF0701"/>
    <w:rsid w:val="B9DD4FB4"/>
    <w:rsid w:val="BB2ADF0F"/>
    <w:rsid w:val="BBFE723F"/>
    <w:rsid w:val="BDE138AF"/>
    <w:rsid w:val="BEF37019"/>
    <w:rsid w:val="BFDE94AA"/>
    <w:rsid w:val="BFF798FE"/>
    <w:rsid w:val="CBFF860A"/>
    <w:rsid w:val="D7BF5D17"/>
    <w:rsid w:val="DBD75CB2"/>
    <w:rsid w:val="DD7D8282"/>
    <w:rsid w:val="DDFF4169"/>
    <w:rsid w:val="DE5F0C4C"/>
    <w:rsid w:val="DEFF306B"/>
    <w:rsid w:val="EFB98ED8"/>
    <w:rsid w:val="EFEF05D9"/>
    <w:rsid w:val="F26F7046"/>
    <w:rsid w:val="F3273655"/>
    <w:rsid w:val="F77BFFF7"/>
    <w:rsid w:val="F7D9B266"/>
    <w:rsid w:val="F7F62211"/>
    <w:rsid w:val="FCFFC47A"/>
    <w:rsid w:val="FD7B7DB5"/>
    <w:rsid w:val="FDF550FC"/>
    <w:rsid w:val="FEADA551"/>
    <w:rsid w:val="FFF32D9A"/>
    <w:rsid w:val="FFFDE3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line="400" w:lineRule="exact"/>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unhideWhenUsed/>
    <w:qFormat/>
    <w:uiPriority w:val="0"/>
    <w:pPr>
      <w:keepNext/>
      <w:keepLines/>
      <w:numPr>
        <w:ilvl w:val="4"/>
        <w:numId w:val="1"/>
      </w:numPr>
      <w:spacing w:before="280" w:after="290" w:line="376" w:lineRule="auto"/>
      <w:outlineLvl w:val="4"/>
    </w:pPr>
    <w:rPr>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spacing w:afterLines="50" w:line="300" w:lineRule="auto"/>
      <w:ind w:firstLine="420" w:firstLineChars="200"/>
    </w:pPr>
    <w:rPr>
      <w:rFonts w:ascii="Times New Roman" w:hAnsi="Times New Roman" w:eastAsia="宋体" w:cs="Times New Roman"/>
      <w:szCs w:val="24"/>
    </w:rPr>
  </w:style>
  <w:style w:type="paragraph" w:styleId="8">
    <w:name w:val="caption"/>
    <w:basedOn w:val="1"/>
    <w:next w:val="1"/>
    <w:unhideWhenUsed/>
    <w:qFormat/>
    <w:uiPriority w:val="35"/>
    <w:pPr>
      <w:spacing w:after="120"/>
      <w:ind w:firstLine="200" w:firstLineChars="200"/>
    </w:pPr>
    <w:rPr>
      <w:rFonts w:ascii="Cambria" w:hAnsi="Cambria" w:eastAsia="黑体" w:cs="Times New Roman"/>
      <w:sz w:val="20"/>
      <w:szCs w:val="20"/>
    </w:rPr>
  </w:style>
  <w:style w:type="paragraph" w:styleId="9">
    <w:name w:val="Document Map"/>
    <w:basedOn w:val="1"/>
    <w:link w:val="52"/>
    <w:semiHidden/>
    <w:unhideWhenUsed/>
    <w:qFormat/>
    <w:uiPriority w:val="99"/>
    <w:rPr>
      <w:rFonts w:ascii="宋体" w:eastAsia="宋体"/>
      <w:sz w:val="18"/>
      <w:szCs w:val="18"/>
    </w:rPr>
  </w:style>
  <w:style w:type="paragraph" w:styleId="10">
    <w:name w:val="annotation text"/>
    <w:basedOn w:val="1"/>
    <w:link w:val="46"/>
    <w:semiHidden/>
    <w:unhideWhenUsed/>
    <w:qFormat/>
    <w:uiPriority w:val="99"/>
  </w:style>
  <w:style w:type="paragraph" w:styleId="11">
    <w:name w:val="toc 5"/>
    <w:basedOn w:val="1"/>
    <w:next w:val="1"/>
    <w:unhideWhenUsed/>
    <w:qFormat/>
    <w:uiPriority w:val="39"/>
    <w:pPr>
      <w:adjustRightInd w:val="0"/>
      <w:snapToGrid w:val="0"/>
      <w:ind w:left="400" w:leftChars="400"/>
    </w:pPr>
  </w:style>
  <w:style w:type="paragraph" w:styleId="12">
    <w:name w:val="toc 3"/>
    <w:basedOn w:val="1"/>
    <w:next w:val="1"/>
    <w:unhideWhenUsed/>
    <w:qFormat/>
    <w:uiPriority w:val="39"/>
    <w:pPr>
      <w:adjustRightInd w:val="0"/>
      <w:snapToGrid w:val="0"/>
      <w:ind w:left="200" w:leftChars="200"/>
    </w:pPr>
    <w:rPr>
      <w:rFonts w:ascii="Calibri" w:hAnsi="Calibri" w:eastAsia="宋体" w:cs="Times New Roman"/>
    </w:rPr>
  </w:style>
  <w:style w:type="paragraph" w:styleId="13">
    <w:name w:val="Balloon Text"/>
    <w:basedOn w:val="1"/>
    <w:link w:val="45"/>
    <w:semiHidden/>
    <w:unhideWhenUsed/>
    <w:qFormat/>
    <w:uiPriority w:val="99"/>
    <w:rPr>
      <w:sz w:val="18"/>
      <w:szCs w:val="18"/>
    </w:rPr>
  </w:style>
  <w:style w:type="paragraph" w:styleId="14">
    <w:name w:val="footer"/>
    <w:basedOn w:val="1"/>
    <w:link w:val="39"/>
    <w:unhideWhenUsed/>
    <w:qFormat/>
    <w:uiPriority w:val="99"/>
    <w:pPr>
      <w:tabs>
        <w:tab w:val="center" w:pos="4153"/>
        <w:tab w:val="right" w:pos="8306"/>
      </w:tabs>
      <w:snapToGrid w:val="0"/>
      <w:spacing w:after="120"/>
      <w:ind w:firstLine="200" w:firstLineChars="200"/>
    </w:pPr>
    <w:rPr>
      <w:rFonts w:ascii="Calibri" w:hAnsi="Calibri" w:eastAsia="宋体" w:cs="Times New Roman"/>
      <w:sz w:val="18"/>
      <w:szCs w:val="18"/>
    </w:rPr>
  </w:style>
  <w:style w:type="paragraph" w:styleId="15">
    <w:name w:val="header"/>
    <w:basedOn w:val="1"/>
    <w:link w:val="38"/>
    <w:unhideWhenUsed/>
    <w:qFormat/>
    <w:uiPriority w:val="99"/>
    <w:pPr>
      <w:pBdr>
        <w:bottom w:val="single" w:color="auto" w:sz="6" w:space="1"/>
      </w:pBdr>
      <w:tabs>
        <w:tab w:val="center" w:pos="4153"/>
        <w:tab w:val="right" w:pos="8306"/>
      </w:tabs>
      <w:snapToGrid w:val="0"/>
      <w:spacing w:after="120"/>
      <w:ind w:firstLine="200" w:firstLineChars="200"/>
      <w:jc w:val="center"/>
    </w:pPr>
    <w:rPr>
      <w:rFonts w:ascii="Calibri" w:hAnsi="Calibri" w:eastAsia="宋体" w:cs="Times New Roman"/>
      <w:sz w:val="18"/>
      <w:szCs w:val="18"/>
    </w:rPr>
  </w:style>
  <w:style w:type="paragraph" w:styleId="16">
    <w:name w:val="toc 1"/>
    <w:basedOn w:val="1"/>
    <w:next w:val="1"/>
    <w:unhideWhenUsed/>
    <w:qFormat/>
    <w:uiPriority w:val="39"/>
    <w:pPr>
      <w:adjustRightInd w:val="0"/>
      <w:snapToGrid w:val="0"/>
    </w:pPr>
    <w:rPr>
      <w:rFonts w:ascii="Calibri" w:hAnsi="Calibri" w:eastAsia="宋体" w:cs="Times New Roman"/>
    </w:rPr>
  </w:style>
  <w:style w:type="paragraph" w:styleId="17">
    <w:name w:val="toc 4"/>
    <w:basedOn w:val="1"/>
    <w:next w:val="1"/>
    <w:unhideWhenUsed/>
    <w:qFormat/>
    <w:uiPriority w:val="39"/>
    <w:pPr>
      <w:adjustRightInd w:val="0"/>
      <w:snapToGrid w:val="0"/>
      <w:ind w:left="300" w:leftChars="300"/>
    </w:pPr>
  </w:style>
  <w:style w:type="paragraph" w:styleId="18">
    <w:name w:val="toc 2"/>
    <w:basedOn w:val="1"/>
    <w:next w:val="1"/>
    <w:unhideWhenUsed/>
    <w:qFormat/>
    <w:uiPriority w:val="39"/>
    <w:pPr>
      <w:adjustRightInd w:val="0"/>
      <w:snapToGrid w:val="0"/>
      <w:ind w:left="100" w:leftChars="100"/>
    </w:pPr>
    <w:rPr>
      <w:rFonts w:ascii="Calibri" w:hAnsi="Calibri" w:eastAsia="宋体" w:cs="Times New Roman"/>
    </w:rPr>
  </w:style>
  <w:style w:type="paragraph" w:styleId="19">
    <w:name w:val="Title"/>
    <w:basedOn w:val="1"/>
    <w:next w:val="1"/>
    <w:link w:val="37"/>
    <w:qFormat/>
    <w:uiPriority w:val="10"/>
    <w:pPr>
      <w:spacing w:after="60" w:line="360" w:lineRule="auto"/>
      <w:ind w:firstLine="200" w:firstLineChars="200"/>
      <w:jc w:val="center"/>
      <w:outlineLvl w:val="0"/>
    </w:pPr>
    <w:rPr>
      <w:rFonts w:ascii="Cambria" w:hAnsi="Cambria" w:eastAsia="宋体" w:cs="Times New Roman"/>
      <w:b/>
      <w:bCs/>
      <w:sz w:val="52"/>
      <w:szCs w:val="32"/>
    </w:rPr>
  </w:style>
  <w:style w:type="paragraph" w:styleId="20">
    <w:name w:val="annotation subject"/>
    <w:basedOn w:val="10"/>
    <w:next w:val="10"/>
    <w:link w:val="47"/>
    <w:semiHidden/>
    <w:unhideWhenUsed/>
    <w:qFormat/>
    <w:uiPriority w:val="99"/>
    <w:rPr>
      <w:b/>
      <w:bCs/>
    </w:rPr>
  </w:style>
  <w:style w:type="table" w:styleId="22">
    <w:name w:val="Table Grid"/>
    <w:basedOn w:val="21"/>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Emphasis"/>
    <w:basedOn w:val="23"/>
    <w:qFormat/>
    <w:uiPriority w:val="20"/>
    <w:rPr>
      <w:i/>
      <w:iCs/>
    </w:rPr>
  </w:style>
  <w:style w:type="character" w:styleId="25">
    <w:name w:val="Hyperlink"/>
    <w:unhideWhenUsed/>
    <w:qFormat/>
    <w:uiPriority w:val="99"/>
    <w:rPr>
      <w:color w:val="0000FF"/>
      <w:u w:val="single"/>
    </w:rPr>
  </w:style>
  <w:style w:type="character" w:styleId="26">
    <w:name w:val="annotation reference"/>
    <w:basedOn w:val="23"/>
    <w:semiHidden/>
    <w:unhideWhenUsed/>
    <w:qFormat/>
    <w:uiPriority w:val="99"/>
    <w:rPr>
      <w:sz w:val="21"/>
      <w:szCs w:val="21"/>
    </w:rPr>
  </w:style>
  <w:style w:type="paragraph" w:customStyle="1" w:styleId="27">
    <w:name w:val="标题3"/>
    <w:basedOn w:val="4"/>
    <w:next w:val="1"/>
    <w:qFormat/>
    <w:uiPriority w:val="0"/>
    <w:pPr>
      <w:numPr>
        <w:ilvl w:val="0"/>
        <w:numId w:val="2"/>
      </w:numPr>
      <w:adjustRightInd w:val="0"/>
      <w:snapToGrid w:val="0"/>
      <w:spacing w:before="50" w:after="0" w:line="360" w:lineRule="auto"/>
    </w:pPr>
    <w:rPr>
      <w:rFonts w:eastAsia="宋体"/>
    </w:rPr>
  </w:style>
  <w:style w:type="paragraph" w:customStyle="1" w:styleId="28">
    <w:name w:val="标题4"/>
    <w:basedOn w:val="5"/>
    <w:next w:val="1"/>
    <w:link w:val="42"/>
    <w:qFormat/>
    <w:uiPriority w:val="0"/>
    <w:pPr>
      <w:numPr>
        <w:ilvl w:val="0"/>
        <w:numId w:val="3"/>
      </w:numPr>
      <w:adjustRightInd w:val="0"/>
      <w:snapToGrid w:val="0"/>
      <w:spacing w:before="50" w:after="0" w:line="360" w:lineRule="auto"/>
      <w:ind w:left="0" w:hanging="200" w:hangingChars="200"/>
    </w:pPr>
    <w:rPr>
      <w:rFonts w:eastAsia="宋体"/>
      <w:sz w:val="30"/>
    </w:rPr>
  </w:style>
  <w:style w:type="character" w:customStyle="1" w:styleId="29">
    <w:name w:val="标题 3 Char"/>
    <w:basedOn w:val="23"/>
    <w:link w:val="4"/>
    <w:semiHidden/>
    <w:qFormat/>
    <w:uiPriority w:val="9"/>
    <w:rPr>
      <w:b/>
      <w:bCs/>
      <w:sz w:val="32"/>
      <w:szCs w:val="32"/>
    </w:rPr>
  </w:style>
  <w:style w:type="paragraph" w:customStyle="1" w:styleId="30">
    <w:name w:val="标题5"/>
    <w:basedOn w:val="6"/>
    <w:qFormat/>
    <w:uiPriority w:val="0"/>
    <w:pPr>
      <w:adjustRightInd w:val="0"/>
      <w:snapToGrid w:val="0"/>
      <w:spacing w:before="0" w:after="0" w:line="360" w:lineRule="auto"/>
    </w:pPr>
    <w:rPr>
      <w:rFonts w:eastAsia="楷体"/>
    </w:rPr>
  </w:style>
  <w:style w:type="character" w:customStyle="1" w:styleId="31">
    <w:name w:val="标题 4 Char"/>
    <w:basedOn w:val="23"/>
    <w:link w:val="5"/>
    <w:semiHidden/>
    <w:qFormat/>
    <w:uiPriority w:val="9"/>
    <w:rPr>
      <w:rFonts w:asciiTheme="majorHAnsi" w:hAnsiTheme="majorHAnsi" w:eastAsiaTheme="majorEastAsia" w:cstheme="majorBidi"/>
      <w:b/>
      <w:bCs/>
      <w:sz w:val="28"/>
      <w:szCs w:val="28"/>
    </w:rPr>
  </w:style>
  <w:style w:type="character" w:customStyle="1" w:styleId="32">
    <w:name w:val="标题 1 Char"/>
    <w:basedOn w:val="23"/>
    <w:link w:val="2"/>
    <w:qFormat/>
    <w:uiPriority w:val="9"/>
    <w:rPr>
      <w:b/>
      <w:bCs/>
      <w:kern w:val="44"/>
      <w:sz w:val="44"/>
      <w:szCs w:val="44"/>
    </w:rPr>
  </w:style>
  <w:style w:type="character" w:customStyle="1" w:styleId="33">
    <w:name w:val="标题 5 Char"/>
    <w:basedOn w:val="23"/>
    <w:link w:val="6"/>
    <w:qFormat/>
    <w:uiPriority w:val="0"/>
    <w:rPr>
      <w:b/>
      <w:bCs/>
      <w:sz w:val="28"/>
      <w:szCs w:val="28"/>
    </w:rPr>
  </w:style>
  <w:style w:type="paragraph" w:customStyle="1" w:styleId="34">
    <w:name w:val="标题1"/>
    <w:basedOn w:val="2"/>
    <w:next w:val="1"/>
    <w:qFormat/>
    <w:uiPriority w:val="0"/>
    <w:pPr>
      <w:numPr>
        <w:ilvl w:val="0"/>
        <w:numId w:val="1"/>
      </w:numPr>
      <w:adjustRightInd w:val="0"/>
      <w:snapToGrid w:val="0"/>
      <w:spacing w:before="50" w:after="0" w:line="360" w:lineRule="auto"/>
    </w:pPr>
    <w:rPr>
      <w:rFonts w:eastAsia="宋体"/>
    </w:rPr>
  </w:style>
  <w:style w:type="paragraph" w:customStyle="1" w:styleId="35">
    <w:name w:val="标题2"/>
    <w:basedOn w:val="3"/>
    <w:next w:val="1"/>
    <w:qFormat/>
    <w:uiPriority w:val="0"/>
    <w:pPr>
      <w:numPr>
        <w:ilvl w:val="0"/>
        <w:numId w:val="4"/>
      </w:numPr>
      <w:adjustRightInd w:val="0"/>
      <w:snapToGrid w:val="0"/>
      <w:spacing w:before="50" w:after="0" w:line="360" w:lineRule="auto"/>
    </w:pPr>
    <w:rPr>
      <w:rFonts w:eastAsia="宋体"/>
      <w:sz w:val="36"/>
    </w:rPr>
  </w:style>
  <w:style w:type="character" w:customStyle="1" w:styleId="36">
    <w:name w:val="标题 2 Char"/>
    <w:basedOn w:val="23"/>
    <w:link w:val="3"/>
    <w:qFormat/>
    <w:uiPriority w:val="0"/>
    <w:rPr>
      <w:rFonts w:asciiTheme="majorHAnsi" w:hAnsiTheme="majorHAnsi" w:eastAsiaTheme="majorEastAsia" w:cstheme="majorBidi"/>
      <w:b/>
      <w:bCs/>
      <w:sz w:val="32"/>
      <w:szCs w:val="32"/>
    </w:rPr>
  </w:style>
  <w:style w:type="character" w:customStyle="1" w:styleId="37">
    <w:name w:val="标题 Char"/>
    <w:basedOn w:val="23"/>
    <w:link w:val="19"/>
    <w:qFormat/>
    <w:uiPriority w:val="10"/>
    <w:rPr>
      <w:rFonts w:ascii="Cambria" w:hAnsi="Cambria" w:eastAsia="宋体" w:cs="Times New Roman"/>
      <w:b/>
      <w:bCs/>
      <w:sz w:val="52"/>
      <w:szCs w:val="32"/>
    </w:rPr>
  </w:style>
  <w:style w:type="character" w:customStyle="1" w:styleId="38">
    <w:name w:val="页眉 Char"/>
    <w:basedOn w:val="23"/>
    <w:link w:val="15"/>
    <w:qFormat/>
    <w:uiPriority w:val="99"/>
    <w:rPr>
      <w:rFonts w:ascii="Calibri" w:hAnsi="Calibri" w:eastAsia="宋体" w:cs="Times New Roman"/>
      <w:sz w:val="18"/>
      <w:szCs w:val="18"/>
    </w:rPr>
  </w:style>
  <w:style w:type="character" w:customStyle="1" w:styleId="39">
    <w:name w:val="页脚 Char"/>
    <w:basedOn w:val="23"/>
    <w:link w:val="14"/>
    <w:qFormat/>
    <w:uiPriority w:val="99"/>
    <w:rPr>
      <w:rFonts w:ascii="Calibri" w:hAnsi="Calibri" w:eastAsia="宋体" w:cs="Times New Roman"/>
      <w:sz w:val="18"/>
      <w:szCs w:val="18"/>
    </w:rPr>
  </w:style>
  <w:style w:type="paragraph" w:customStyle="1" w:styleId="40">
    <w:name w:val="表格正文"/>
    <w:basedOn w:val="1"/>
    <w:qFormat/>
    <w:uiPriority w:val="0"/>
    <w:pPr>
      <w:widowControl/>
      <w:tabs>
        <w:tab w:val="left" w:pos="1702"/>
      </w:tabs>
      <w:overflowPunct w:val="0"/>
      <w:autoSpaceDE w:val="0"/>
      <w:autoSpaceDN w:val="0"/>
      <w:adjustRightInd w:val="0"/>
    </w:pPr>
    <w:rPr>
      <w:rFonts w:ascii="楷体_GB2312" w:hAnsi="宋体" w:eastAsia="楷体_GB2312" w:cs="Times New Roman"/>
      <w:color w:val="000000"/>
      <w:kern w:val="0"/>
      <w:szCs w:val="20"/>
    </w:rPr>
  </w:style>
  <w:style w:type="paragraph" w:customStyle="1" w:styleId="41">
    <w:name w:val="表格栏头"/>
    <w:basedOn w:val="40"/>
    <w:next w:val="40"/>
    <w:qFormat/>
    <w:uiPriority w:val="0"/>
    <w:pPr>
      <w:tabs>
        <w:tab w:val="clear" w:pos="1702"/>
      </w:tabs>
      <w:spacing w:before="60" w:after="60"/>
      <w:textAlignment w:val="baseline"/>
    </w:pPr>
    <w:rPr>
      <w:rFonts w:ascii="Tahoma" w:hAnsi="Tahoma" w:eastAsia="宋体"/>
      <w:b/>
      <w:color w:val="auto"/>
    </w:rPr>
  </w:style>
  <w:style w:type="character" w:customStyle="1" w:styleId="42">
    <w:name w:val="标题4 Char"/>
    <w:link w:val="28"/>
    <w:qFormat/>
    <w:uiPriority w:val="0"/>
    <w:rPr>
      <w:rFonts w:eastAsia="宋体" w:asciiTheme="majorHAnsi" w:hAnsiTheme="majorHAnsi" w:cstheme="majorBidi"/>
      <w:b/>
      <w:bCs/>
      <w:sz w:val="30"/>
      <w:szCs w:val="28"/>
    </w:rPr>
  </w:style>
  <w:style w:type="paragraph" w:customStyle="1" w:styleId="43">
    <w:name w:val="法条"/>
    <w:basedOn w:val="1"/>
    <w:qFormat/>
    <w:uiPriority w:val="0"/>
    <w:pPr>
      <w:numPr>
        <w:ilvl w:val="0"/>
        <w:numId w:val="5"/>
      </w:numPr>
      <w:tabs>
        <w:tab w:val="left" w:pos="0"/>
      </w:tabs>
      <w:ind w:firstLine="200" w:firstLineChars="200"/>
    </w:pPr>
    <w:rPr>
      <w:rFonts w:ascii="仿宋" w:hAnsi="仿宋" w:eastAsia="仿宋" w:cs="Times New Roman"/>
      <w:sz w:val="30"/>
      <w:szCs w:val="30"/>
    </w:rPr>
  </w:style>
  <w:style w:type="paragraph" w:customStyle="1" w:styleId="44">
    <w:name w:val="信息标题2"/>
    <w:basedOn w:val="8"/>
    <w:next w:val="8"/>
    <w:qFormat/>
    <w:uiPriority w:val="0"/>
    <w:pPr>
      <w:spacing w:before="156" w:after="0" w:line="240" w:lineRule="auto"/>
      <w:ind w:firstLine="0" w:firstLineChars="0"/>
      <w:jc w:val="center"/>
    </w:pPr>
    <w:rPr>
      <w:rFonts w:asciiTheme="majorEastAsia" w:hAnsiTheme="majorEastAsia" w:eastAsiaTheme="majorEastAsia"/>
      <w:b/>
      <w:sz w:val="44"/>
      <w:szCs w:val="44"/>
    </w:rPr>
  </w:style>
  <w:style w:type="character" w:customStyle="1" w:styleId="45">
    <w:name w:val="批注框文本 Char"/>
    <w:basedOn w:val="23"/>
    <w:link w:val="13"/>
    <w:semiHidden/>
    <w:qFormat/>
    <w:uiPriority w:val="99"/>
    <w:rPr>
      <w:sz w:val="18"/>
      <w:szCs w:val="18"/>
    </w:rPr>
  </w:style>
  <w:style w:type="character" w:customStyle="1" w:styleId="46">
    <w:name w:val="批注文字 Char"/>
    <w:basedOn w:val="23"/>
    <w:link w:val="10"/>
    <w:semiHidden/>
    <w:qFormat/>
    <w:uiPriority w:val="99"/>
  </w:style>
  <w:style w:type="character" w:customStyle="1" w:styleId="47">
    <w:name w:val="批注主题 Char"/>
    <w:basedOn w:val="46"/>
    <w:link w:val="20"/>
    <w:semiHidden/>
    <w:qFormat/>
    <w:uiPriority w:val="99"/>
    <w:rPr>
      <w:b/>
      <w:bCs/>
    </w:rPr>
  </w:style>
  <w:style w:type="character" w:customStyle="1" w:styleId="48">
    <w:name w:val="st"/>
    <w:basedOn w:val="23"/>
    <w:qFormat/>
    <w:uiPriority w:val="0"/>
  </w:style>
  <w:style w:type="paragraph" w:styleId="49">
    <w:name w:val="List Paragraph"/>
    <w:basedOn w:val="1"/>
    <w:qFormat/>
    <w:uiPriority w:val="34"/>
    <w:pPr>
      <w:ind w:firstLine="420" w:firstLineChars="200"/>
    </w:pPr>
  </w:style>
  <w:style w:type="paragraph" w:customStyle="1" w:styleId="50">
    <w:name w:val="首页下"/>
    <w:basedOn w:val="1"/>
    <w:link w:val="51"/>
    <w:qFormat/>
    <w:uiPriority w:val="0"/>
    <w:pPr>
      <w:spacing w:line="360" w:lineRule="auto"/>
      <w:ind w:firstLine="641"/>
      <w:jc w:val="center"/>
    </w:pPr>
    <w:rPr>
      <w:rFonts w:ascii="Times New Roman" w:hAnsi="Times New Roman"/>
      <w:b/>
      <w:sz w:val="36"/>
    </w:rPr>
  </w:style>
  <w:style w:type="character" w:customStyle="1" w:styleId="51">
    <w:name w:val="首页下 Char"/>
    <w:basedOn w:val="23"/>
    <w:link w:val="50"/>
    <w:qFormat/>
    <w:uiPriority w:val="0"/>
    <w:rPr>
      <w:rFonts w:ascii="Times New Roman" w:hAnsi="Times New Roman"/>
      <w:b/>
      <w:sz w:val="36"/>
    </w:rPr>
  </w:style>
  <w:style w:type="character" w:customStyle="1" w:styleId="52">
    <w:name w:val="文档结构图 Char"/>
    <w:basedOn w:val="23"/>
    <w:link w:val="9"/>
    <w:semiHidden/>
    <w:qFormat/>
    <w:uiPriority w:val="99"/>
    <w:rPr>
      <w:rFonts w:ascii="宋体" w:eastAsia="宋体"/>
      <w:sz w:val="18"/>
      <w:szCs w:val="18"/>
    </w:rPr>
  </w:style>
  <w:style w:type="paragraph" w:customStyle="1" w:styleId="5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413</Words>
  <Characters>2359</Characters>
  <Lines>19</Lines>
  <Paragraphs>5</Paragraphs>
  <TotalTime>0</TotalTime>
  <ScaleCrop>false</ScaleCrop>
  <LinksUpToDate>false</LinksUpToDate>
  <CharactersWithSpaces>2767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2022-11-18T14:25:00Z</dcterms:created>
  <dc:creator>mazhe.OAIN.001</dc:creator>
  <cp:lastModifiedBy>gaoduo</cp:lastModifiedBy>
  <cp:lastPrinted>2022-05-10T17:51:00Z</cp:lastPrinted>
  <dcterms:modified xsi:type="dcterms:W3CDTF">2022-11-18T18:07:50Z</dcterms:modified>
  <dc:title>办发〔2022〕*号附件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