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1EC64" w14:textId="77777777" w:rsidR="005B1A10" w:rsidRDefault="005B1A10" w:rsidP="005B1A10">
      <w:pPr>
        <w:widowControl/>
        <w:shd w:val="clear" w:color="auto" w:fill="FFFFFF"/>
        <w:spacing w:after="210"/>
        <w:jc w:val="center"/>
        <w:outlineLvl w:val="1"/>
        <w:rPr>
          <w:rFonts w:ascii="宋体" w:eastAsia="宋体" w:hAnsi="宋体" w:cs="宋体"/>
          <w:b/>
          <w:bCs/>
          <w:color w:val="333333"/>
          <w:spacing w:val="8"/>
          <w:kern w:val="0"/>
          <w:sz w:val="36"/>
          <w:szCs w:val="36"/>
        </w:rPr>
      </w:pPr>
      <w:r w:rsidRPr="005B1A10">
        <w:rPr>
          <w:rFonts w:ascii="宋体" w:eastAsia="宋体" w:hAnsi="宋体" w:cs="宋体" w:hint="eastAsia"/>
          <w:b/>
          <w:bCs/>
          <w:color w:val="333333"/>
          <w:spacing w:val="8"/>
          <w:kern w:val="0"/>
          <w:sz w:val="36"/>
          <w:szCs w:val="36"/>
        </w:rPr>
        <w:t>企业资产证券化业务备案运行情况简报</w:t>
      </w:r>
    </w:p>
    <w:p w14:paraId="1C167D6A" w14:textId="5B9E6437" w:rsidR="005B1A10" w:rsidRDefault="005B1A10" w:rsidP="005B1A10">
      <w:pPr>
        <w:widowControl/>
        <w:shd w:val="clear" w:color="auto" w:fill="FFFFFF"/>
        <w:spacing w:after="210"/>
        <w:jc w:val="center"/>
        <w:outlineLvl w:val="1"/>
        <w:rPr>
          <w:rFonts w:ascii="宋体" w:eastAsia="宋体" w:hAnsi="宋体" w:cs="宋体"/>
          <w:b/>
          <w:bCs/>
          <w:color w:val="333333"/>
          <w:spacing w:val="8"/>
          <w:kern w:val="0"/>
          <w:sz w:val="36"/>
          <w:szCs w:val="36"/>
        </w:rPr>
      </w:pPr>
      <w:r w:rsidRPr="005B1A10">
        <w:rPr>
          <w:rFonts w:ascii="宋体" w:eastAsia="宋体" w:hAnsi="宋体" w:cs="宋体" w:hint="eastAsia"/>
          <w:b/>
          <w:bCs/>
          <w:color w:val="333333"/>
          <w:spacing w:val="8"/>
          <w:kern w:val="0"/>
          <w:sz w:val="36"/>
          <w:szCs w:val="36"/>
        </w:rPr>
        <w:t>（2020年</w:t>
      </w:r>
      <w:r w:rsidR="00FB470B">
        <w:rPr>
          <w:rFonts w:ascii="宋体" w:eastAsia="宋体" w:hAnsi="宋体" w:cs="宋体"/>
          <w:b/>
          <w:bCs/>
          <w:color w:val="333333"/>
          <w:spacing w:val="8"/>
          <w:kern w:val="0"/>
          <w:sz w:val="36"/>
          <w:szCs w:val="36"/>
        </w:rPr>
        <w:t>5</w:t>
      </w:r>
      <w:r w:rsidRPr="005B1A10">
        <w:rPr>
          <w:rFonts w:ascii="宋体" w:eastAsia="宋体" w:hAnsi="宋体" w:cs="宋体" w:hint="eastAsia"/>
          <w:b/>
          <w:bCs/>
          <w:color w:val="333333"/>
          <w:spacing w:val="8"/>
          <w:kern w:val="0"/>
          <w:sz w:val="36"/>
          <w:szCs w:val="36"/>
        </w:rPr>
        <w:t>月）</w:t>
      </w:r>
    </w:p>
    <w:p w14:paraId="25D6111E" w14:textId="630EED3B" w:rsidR="005B1A10" w:rsidRDefault="005B1A10" w:rsidP="005B1A10">
      <w:pPr>
        <w:widowControl/>
        <w:shd w:val="clear" w:color="auto" w:fill="FFFFFF"/>
        <w:spacing w:after="210"/>
        <w:jc w:val="center"/>
        <w:outlineLvl w:val="1"/>
        <w:rPr>
          <w:rFonts w:ascii="宋体" w:eastAsia="宋体" w:hAnsi="宋体" w:cs="宋体"/>
          <w:b/>
          <w:bCs/>
          <w:color w:val="333333"/>
          <w:spacing w:val="8"/>
          <w:kern w:val="0"/>
          <w:sz w:val="36"/>
          <w:szCs w:val="36"/>
        </w:rPr>
      </w:pPr>
    </w:p>
    <w:p w14:paraId="71C16CC2" w14:textId="77777777" w:rsidR="008230F2" w:rsidRPr="008230F2" w:rsidRDefault="008230F2" w:rsidP="008230F2">
      <w:pPr>
        <w:widowControl/>
        <w:shd w:val="clear" w:color="auto" w:fill="FFFFFF"/>
        <w:spacing w:line="420" w:lineRule="atLeast"/>
        <w:ind w:firstLine="480"/>
        <w:rPr>
          <w:rFonts w:ascii="仿宋" w:eastAsia="仿宋" w:hAnsi="仿宋" w:cs="宋体"/>
          <w:color w:val="000000" w:themeColor="text1"/>
          <w:spacing w:val="8"/>
          <w:kern w:val="0"/>
          <w:sz w:val="32"/>
          <w:szCs w:val="32"/>
        </w:rPr>
      </w:pPr>
      <w:r w:rsidRPr="008230F2">
        <w:rPr>
          <w:rFonts w:ascii="仿宋" w:eastAsia="仿宋" w:hAnsi="仿宋" w:cs="宋体" w:hint="eastAsia"/>
          <w:b/>
          <w:bCs/>
          <w:color w:val="000000" w:themeColor="text1"/>
          <w:spacing w:val="8"/>
          <w:kern w:val="0"/>
          <w:sz w:val="32"/>
          <w:szCs w:val="32"/>
        </w:rPr>
        <w:t>一、2020年5月企业ABS备案情况</w:t>
      </w:r>
    </w:p>
    <w:p w14:paraId="24763009" w14:textId="77777777" w:rsidR="008230F2" w:rsidRPr="008230F2" w:rsidRDefault="008230F2" w:rsidP="008230F2">
      <w:pPr>
        <w:widowControl/>
        <w:shd w:val="clear" w:color="auto" w:fill="FFFFFF"/>
        <w:spacing w:line="420" w:lineRule="atLeast"/>
        <w:ind w:firstLine="480"/>
        <w:rPr>
          <w:rFonts w:ascii="仿宋" w:eastAsia="仿宋" w:hAnsi="仿宋" w:cs="宋体" w:hint="eastAsia"/>
          <w:color w:val="000000" w:themeColor="text1"/>
          <w:spacing w:val="8"/>
          <w:kern w:val="0"/>
          <w:sz w:val="32"/>
          <w:szCs w:val="32"/>
        </w:rPr>
      </w:pPr>
      <w:r w:rsidRPr="008230F2">
        <w:rPr>
          <w:rFonts w:ascii="仿宋" w:eastAsia="仿宋" w:hAnsi="仿宋" w:cs="宋体" w:hint="eastAsia"/>
          <w:color w:val="000000" w:themeColor="text1"/>
          <w:spacing w:val="8"/>
          <w:kern w:val="0"/>
          <w:sz w:val="32"/>
          <w:szCs w:val="32"/>
        </w:rPr>
        <w:t>2020年5月，企业资产证券化产品共备案确认104只，新增备案规模合计1041.67亿元。</w:t>
      </w:r>
    </w:p>
    <w:p w14:paraId="651D8FED" w14:textId="6F5794C7" w:rsidR="008230F2" w:rsidRPr="008230F2" w:rsidRDefault="008230F2" w:rsidP="008230F2">
      <w:pPr>
        <w:widowControl/>
        <w:shd w:val="clear" w:color="auto" w:fill="FFFFFF"/>
        <w:jc w:val="center"/>
        <w:rPr>
          <w:rFonts w:ascii="仿宋" w:eastAsia="仿宋" w:hAnsi="仿宋" w:cs="宋体" w:hint="eastAsia"/>
          <w:color w:val="000000" w:themeColor="text1"/>
          <w:spacing w:val="8"/>
          <w:kern w:val="0"/>
          <w:sz w:val="32"/>
          <w:szCs w:val="32"/>
        </w:rPr>
      </w:pPr>
      <w:r>
        <w:rPr>
          <w:rFonts w:ascii="仿宋" w:eastAsia="仿宋" w:hAnsi="仿宋" w:cs="宋体" w:hint="eastAsia"/>
          <w:noProof/>
          <w:color w:val="000000" w:themeColor="text1"/>
          <w:spacing w:val="8"/>
          <w:kern w:val="0"/>
          <w:sz w:val="32"/>
          <w:szCs w:val="32"/>
        </w:rPr>
        <w:drawing>
          <wp:inline distT="0" distB="0" distL="0" distR="0" wp14:anchorId="0DF39C0B" wp14:editId="6AE9D6E3">
            <wp:extent cx="5274310" cy="3039745"/>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1.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039745"/>
                    </a:xfrm>
                    <a:prstGeom prst="rect">
                      <a:avLst/>
                    </a:prstGeom>
                  </pic:spPr>
                </pic:pic>
              </a:graphicData>
            </a:graphic>
          </wp:inline>
        </w:drawing>
      </w:r>
    </w:p>
    <w:p w14:paraId="3A275BF4" w14:textId="77777777" w:rsidR="008230F2" w:rsidRPr="008230F2" w:rsidRDefault="008230F2" w:rsidP="008230F2">
      <w:pPr>
        <w:widowControl/>
        <w:shd w:val="clear" w:color="auto" w:fill="FFFFFF"/>
        <w:spacing w:line="420" w:lineRule="atLeast"/>
        <w:ind w:firstLine="480"/>
        <w:rPr>
          <w:rFonts w:ascii="仿宋" w:eastAsia="仿宋" w:hAnsi="仿宋" w:cs="宋体" w:hint="eastAsia"/>
          <w:color w:val="000000" w:themeColor="text1"/>
          <w:spacing w:val="8"/>
          <w:kern w:val="0"/>
          <w:sz w:val="32"/>
          <w:szCs w:val="32"/>
        </w:rPr>
      </w:pPr>
      <w:r w:rsidRPr="008230F2">
        <w:rPr>
          <w:rFonts w:ascii="仿宋" w:eastAsia="仿宋" w:hAnsi="仿宋" w:cs="宋体" w:hint="eastAsia"/>
          <w:color w:val="000000" w:themeColor="text1"/>
          <w:spacing w:val="8"/>
          <w:kern w:val="0"/>
          <w:sz w:val="32"/>
          <w:szCs w:val="32"/>
        </w:rPr>
        <w:t>按基础资产一级分类，本月</w:t>
      </w:r>
      <w:r w:rsidRPr="008230F2">
        <w:rPr>
          <w:rFonts w:ascii="仿宋" w:eastAsia="仿宋" w:hAnsi="仿宋" w:cs="宋体" w:hint="eastAsia"/>
          <w:b/>
          <w:bCs/>
          <w:color w:val="000000" w:themeColor="text1"/>
          <w:spacing w:val="8"/>
          <w:kern w:val="0"/>
          <w:sz w:val="32"/>
          <w:szCs w:val="32"/>
        </w:rPr>
        <w:t>债权类</w:t>
      </w:r>
      <w:r w:rsidRPr="008230F2">
        <w:rPr>
          <w:rFonts w:ascii="仿宋" w:eastAsia="仿宋" w:hAnsi="仿宋" w:cs="宋体" w:hint="eastAsia"/>
          <w:color w:val="000000" w:themeColor="text1"/>
          <w:spacing w:val="8"/>
          <w:kern w:val="0"/>
          <w:sz w:val="32"/>
          <w:szCs w:val="32"/>
        </w:rPr>
        <w:t>产品新增备案规模984.82亿元，</w:t>
      </w:r>
      <w:r w:rsidRPr="008230F2">
        <w:rPr>
          <w:rFonts w:ascii="仿宋" w:eastAsia="仿宋" w:hAnsi="仿宋" w:cs="宋体" w:hint="eastAsia"/>
          <w:b/>
          <w:bCs/>
          <w:color w:val="000000" w:themeColor="text1"/>
          <w:spacing w:val="8"/>
          <w:kern w:val="0"/>
          <w:sz w:val="32"/>
          <w:szCs w:val="32"/>
        </w:rPr>
        <w:t>未来经营收入类</w:t>
      </w:r>
      <w:r w:rsidRPr="008230F2">
        <w:rPr>
          <w:rFonts w:ascii="仿宋" w:eastAsia="仿宋" w:hAnsi="仿宋" w:cs="宋体" w:hint="eastAsia"/>
          <w:color w:val="000000" w:themeColor="text1"/>
          <w:spacing w:val="8"/>
          <w:kern w:val="0"/>
          <w:sz w:val="32"/>
          <w:szCs w:val="32"/>
        </w:rPr>
        <w:t>产品新增备案规模46.75亿元，</w:t>
      </w:r>
      <w:r w:rsidRPr="008230F2">
        <w:rPr>
          <w:rFonts w:ascii="仿宋" w:eastAsia="仿宋" w:hAnsi="仿宋" w:cs="宋体" w:hint="eastAsia"/>
          <w:b/>
          <w:bCs/>
          <w:color w:val="000000" w:themeColor="text1"/>
          <w:spacing w:val="8"/>
          <w:kern w:val="0"/>
          <w:sz w:val="32"/>
          <w:szCs w:val="32"/>
        </w:rPr>
        <w:t>REITs类</w:t>
      </w:r>
      <w:r w:rsidRPr="008230F2">
        <w:rPr>
          <w:rFonts w:ascii="仿宋" w:eastAsia="仿宋" w:hAnsi="仿宋" w:cs="宋体" w:hint="eastAsia"/>
          <w:color w:val="000000" w:themeColor="text1"/>
          <w:spacing w:val="8"/>
          <w:kern w:val="0"/>
          <w:sz w:val="32"/>
          <w:szCs w:val="32"/>
        </w:rPr>
        <w:t>产品新增备案规模10.10亿元，5月无</w:t>
      </w:r>
      <w:r w:rsidRPr="008230F2">
        <w:rPr>
          <w:rFonts w:ascii="仿宋" w:eastAsia="仿宋" w:hAnsi="仿宋" w:cs="宋体" w:hint="eastAsia"/>
          <w:b/>
          <w:bCs/>
          <w:color w:val="000000" w:themeColor="text1"/>
          <w:spacing w:val="8"/>
          <w:kern w:val="0"/>
          <w:sz w:val="32"/>
          <w:szCs w:val="32"/>
        </w:rPr>
        <w:t>产权类</w:t>
      </w:r>
      <w:r w:rsidRPr="008230F2">
        <w:rPr>
          <w:rFonts w:ascii="仿宋" w:eastAsia="仿宋" w:hAnsi="仿宋" w:cs="宋体" w:hint="eastAsia"/>
          <w:color w:val="000000" w:themeColor="text1"/>
          <w:spacing w:val="8"/>
          <w:kern w:val="0"/>
          <w:sz w:val="32"/>
          <w:szCs w:val="32"/>
        </w:rPr>
        <w:t>产品备案。按基础资产二级分类，应收账款、商业不动产抵押贷款（CMBS）、融资租赁债权以及购房尾款产品新增备案规模合计占月度备案产品新增备案规模的79.60%。</w:t>
      </w:r>
    </w:p>
    <w:p w14:paraId="12FF65DA" w14:textId="77777777" w:rsidR="008230F2" w:rsidRPr="008230F2" w:rsidRDefault="008230F2" w:rsidP="008230F2">
      <w:pPr>
        <w:widowControl/>
        <w:jc w:val="center"/>
        <w:rPr>
          <w:rFonts w:ascii="宋体" w:eastAsia="宋体" w:hAnsi="宋体" w:cs="宋体" w:hint="eastAsia"/>
          <w:kern w:val="0"/>
          <w:sz w:val="24"/>
          <w:szCs w:val="24"/>
        </w:rPr>
      </w:pPr>
      <w:r w:rsidRPr="008230F2">
        <w:rPr>
          <w:rFonts w:ascii="宋体" w:eastAsia="宋体" w:hAnsi="宋体" w:cs="宋体"/>
          <w:b/>
          <w:bCs/>
          <w:kern w:val="0"/>
          <w:sz w:val="18"/>
          <w:szCs w:val="18"/>
        </w:rPr>
        <w:t>表1 5月备案产品基础资产二级分类规模分布及占比情况</w:t>
      </w:r>
    </w:p>
    <w:p w14:paraId="6AF3173D" w14:textId="3344B90F" w:rsidR="008230F2" w:rsidRPr="008230F2" w:rsidRDefault="008230F2" w:rsidP="008230F2">
      <w:pPr>
        <w:widowControl/>
        <w:shd w:val="clear" w:color="auto" w:fill="FFFFFF"/>
        <w:jc w:val="center"/>
        <w:rPr>
          <w:rFonts w:ascii="Microsoft YaHei UI" w:eastAsia="Microsoft YaHei UI" w:hAnsi="Microsoft YaHei UI" w:cs="宋体"/>
          <w:color w:val="333333"/>
          <w:spacing w:val="8"/>
          <w:kern w:val="0"/>
          <w:sz w:val="26"/>
          <w:szCs w:val="26"/>
        </w:rPr>
      </w:pPr>
      <w:r w:rsidRPr="008230F2">
        <w:rPr>
          <w:rFonts w:ascii="Microsoft YaHei UI" w:eastAsia="Microsoft YaHei UI" w:hAnsi="Microsoft YaHei UI" w:cs="宋体"/>
          <w:noProof/>
          <w:color w:val="333333"/>
          <w:spacing w:val="8"/>
          <w:kern w:val="0"/>
          <w:sz w:val="26"/>
          <w:szCs w:val="26"/>
        </w:rPr>
        <w:lastRenderedPageBreak/>
        <mc:AlternateContent>
          <mc:Choice Requires="wps">
            <w:drawing>
              <wp:inline distT="0" distB="0" distL="0" distR="0" wp14:anchorId="6477F702" wp14:editId="694C06A7">
                <wp:extent cx="304800" cy="304800"/>
                <wp:effectExtent l="0" t="0" r="0" b="0"/>
                <wp:docPr id="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401A2"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F6Xsf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Pr>
          <w:rFonts w:ascii="Microsoft YaHei UI" w:eastAsia="Microsoft YaHei UI" w:hAnsi="Microsoft YaHei UI" w:cs="宋体"/>
          <w:noProof/>
          <w:color w:val="333333"/>
          <w:spacing w:val="8"/>
          <w:kern w:val="0"/>
          <w:sz w:val="26"/>
          <w:szCs w:val="26"/>
        </w:rPr>
        <w:drawing>
          <wp:inline distT="0" distB="0" distL="0" distR="0" wp14:anchorId="6E7C5328" wp14:editId="52AD17FD">
            <wp:extent cx="5274310" cy="400240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表1.jpg"/>
                    <pic:cNvPicPr/>
                  </pic:nvPicPr>
                  <pic:blipFill>
                    <a:blip r:embed="rId8">
                      <a:extLst>
                        <a:ext uri="{28A0092B-C50C-407E-A947-70E740481C1C}">
                          <a14:useLocalDpi xmlns:a14="http://schemas.microsoft.com/office/drawing/2010/main" val="0"/>
                        </a:ext>
                      </a:extLst>
                    </a:blip>
                    <a:stretch>
                      <a:fillRect/>
                    </a:stretch>
                  </pic:blipFill>
                  <pic:spPr>
                    <a:xfrm>
                      <a:off x="0" y="0"/>
                      <a:ext cx="5274310" cy="4002405"/>
                    </a:xfrm>
                    <a:prstGeom prst="rect">
                      <a:avLst/>
                    </a:prstGeom>
                  </pic:spPr>
                </pic:pic>
              </a:graphicData>
            </a:graphic>
          </wp:inline>
        </w:drawing>
      </w:r>
    </w:p>
    <w:p w14:paraId="0ACF5E19" w14:textId="77777777" w:rsidR="008230F2" w:rsidRPr="008230F2" w:rsidRDefault="008230F2" w:rsidP="008230F2">
      <w:pPr>
        <w:widowControl/>
        <w:shd w:val="clear" w:color="auto" w:fill="FFFFFF"/>
        <w:spacing w:line="420" w:lineRule="atLeast"/>
        <w:ind w:firstLine="480"/>
        <w:rPr>
          <w:rFonts w:ascii="仿宋" w:eastAsia="仿宋" w:hAnsi="仿宋" w:cs="宋体" w:hint="eastAsia"/>
          <w:color w:val="000000" w:themeColor="text1"/>
          <w:spacing w:val="8"/>
          <w:kern w:val="0"/>
          <w:sz w:val="32"/>
          <w:szCs w:val="32"/>
        </w:rPr>
      </w:pPr>
      <w:r w:rsidRPr="008230F2">
        <w:rPr>
          <w:rFonts w:ascii="仿宋" w:eastAsia="仿宋" w:hAnsi="仿宋" w:cs="宋体" w:hint="eastAsia"/>
          <w:b/>
          <w:bCs/>
          <w:color w:val="000000" w:themeColor="text1"/>
          <w:spacing w:val="8"/>
          <w:kern w:val="0"/>
          <w:sz w:val="32"/>
          <w:szCs w:val="32"/>
        </w:rPr>
        <w:t>二、存续产品基础资产分布情况</w:t>
      </w:r>
    </w:p>
    <w:p w14:paraId="50599DF4" w14:textId="77777777" w:rsidR="008230F2" w:rsidRPr="008230F2" w:rsidRDefault="008230F2" w:rsidP="008230F2">
      <w:pPr>
        <w:widowControl/>
        <w:shd w:val="clear" w:color="auto" w:fill="FFFFFF"/>
        <w:spacing w:line="420" w:lineRule="atLeast"/>
        <w:ind w:firstLine="480"/>
        <w:rPr>
          <w:rFonts w:ascii="仿宋" w:eastAsia="仿宋" w:hAnsi="仿宋" w:cs="宋体" w:hint="eastAsia"/>
          <w:color w:val="000000" w:themeColor="text1"/>
          <w:spacing w:val="8"/>
          <w:kern w:val="0"/>
          <w:sz w:val="32"/>
          <w:szCs w:val="32"/>
        </w:rPr>
      </w:pPr>
      <w:r w:rsidRPr="008230F2">
        <w:rPr>
          <w:rFonts w:ascii="仿宋" w:eastAsia="仿宋" w:hAnsi="仿宋" w:cs="宋体" w:hint="eastAsia"/>
          <w:color w:val="000000" w:themeColor="text1"/>
          <w:spacing w:val="8"/>
          <w:kern w:val="0"/>
          <w:sz w:val="32"/>
          <w:szCs w:val="32"/>
        </w:rPr>
        <w:t>截至2020年5月底，存续企业资产证券化产品1768只，存续规模17322.18亿元。按基础资产二级分类来看，</w:t>
      </w:r>
      <w:r w:rsidRPr="008230F2">
        <w:rPr>
          <w:rFonts w:ascii="仿宋" w:eastAsia="仿宋" w:hAnsi="仿宋" w:cs="宋体" w:hint="eastAsia"/>
          <w:b/>
          <w:bCs/>
          <w:color w:val="000000" w:themeColor="text1"/>
          <w:spacing w:val="8"/>
          <w:kern w:val="0"/>
          <w:sz w:val="32"/>
          <w:szCs w:val="32"/>
        </w:rPr>
        <w:t>应收账款债权、商业不动产抵押贷款（CMBS）、小额贷款债权、融资租赁债权、基础设施收费以及REITs类基础资产</w:t>
      </w:r>
      <w:r w:rsidRPr="008230F2">
        <w:rPr>
          <w:rFonts w:ascii="仿宋" w:eastAsia="仿宋" w:hAnsi="仿宋" w:cs="宋体" w:hint="eastAsia"/>
          <w:color w:val="000000" w:themeColor="text1"/>
          <w:spacing w:val="8"/>
          <w:kern w:val="0"/>
          <w:sz w:val="32"/>
          <w:szCs w:val="32"/>
        </w:rPr>
        <w:t>存续规模合计14674.02亿元，占总存续规模的84.71%。购房尾款、信托受益权等其他类别基础资产存续规模合计2648.16亿元，占总存续规模的15.29%。存续基础资产分布及</w:t>
      </w:r>
      <w:proofErr w:type="gramStart"/>
      <w:r w:rsidRPr="008230F2">
        <w:rPr>
          <w:rFonts w:ascii="仿宋" w:eastAsia="仿宋" w:hAnsi="仿宋" w:cs="宋体" w:hint="eastAsia"/>
          <w:color w:val="000000" w:themeColor="text1"/>
          <w:spacing w:val="8"/>
          <w:kern w:val="0"/>
          <w:sz w:val="32"/>
          <w:szCs w:val="32"/>
        </w:rPr>
        <w:t>占比较</w:t>
      </w:r>
      <w:proofErr w:type="gramEnd"/>
      <w:r w:rsidRPr="008230F2">
        <w:rPr>
          <w:rFonts w:ascii="仿宋" w:eastAsia="仿宋" w:hAnsi="仿宋" w:cs="宋体" w:hint="eastAsia"/>
          <w:color w:val="000000" w:themeColor="text1"/>
          <w:spacing w:val="8"/>
          <w:kern w:val="0"/>
          <w:sz w:val="32"/>
          <w:szCs w:val="32"/>
        </w:rPr>
        <w:t>上月未发生显著变化。</w:t>
      </w:r>
    </w:p>
    <w:p w14:paraId="190D6E50" w14:textId="60ED4EC0" w:rsidR="008230F2" w:rsidRPr="008230F2" w:rsidRDefault="008230F2" w:rsidP="008230F2">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hint="eastAsia"/>
          <w:noProof/>
          <w:color w:val="333333"/>
          <w:spacing w:val="8"/>
          <w:kern w:val="0"/>
          <w:sz w:val="26"/>
          <w:szCs w:val="26"/>
        </w:rPr>
        <w:drawing>
          <wp:inline distT="0" distB="0" distL="0" distR="0" wp14:anchorId="0AF30447" wp14:editId="0B03744D">
            <wp:extent cx="5274310" cy="3235325"/>
            <wp:effectExtent l="0" t="0" r="254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2.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235325"/>
                    </a:xfrm>
                    <a:prstGeom prst="rect">
                      <a:avLst/>
                    </a:prstGeom>
                  </pic:spPr>
                </pic:pic>
              </a:graphicData>
            </a:graphic>
          </wp:inline>
        </w:drawing>
      </w:r>
    </w:p>
    <w:p w14:paraId="47B31367" w14:textId="77777777" w:rsidR="005B1A10" w:rsidRPr="005B1A10" w:rsidRDefault="008230F2" w:rsidP="005B1A10">
      <w:pPr>
        <w:widowControl/>
        <w:jc w:val="left"/>
        <w:rPr>
          <w:rFonts w:ascii="宋体" w:eastAsia="宋体" w:hAnsi="宋体" w:cs="宋体"/>
          <w:kern w:val="0"/>
          <w:sz w:val="24"/>
          <w:szCs w:val="24"/>
        </w:rPr>
      </w:pPr>
      <w:r>
        <w:rPr>
          <w:rFonts w:ascii="宋体" w:eastAsia="宋体" w:hAnsi="宋体" w:cs="宋体"/>
          <w:kern w:val="0"/>
          <w:sz w:val="24"/>
          <w:szCs w:val="24"/>
        </w:rPr>
        <w:pict w14:anchorId="0773AABA">
          <v:rect id="_x0000_i1025" style="width:409.05pt;height:.4pt" o:hrpct="985" o:hrstd="t" o:hrnoshade="t" o:hr="t" fillcolor="#333" stroked="f"/>
        </w:pict>
      </w:r>
    </w:p>
    <w:p w14:paraId="1E38AFFF" w14:textId="77777777" w:rsidR="008230F2" w:rsidRDefault="008230F2" w:rsidP="008230F2">
      <w:pPr>
        <w:rPr>
          <w:rFonts w:ascii="宋体" w:eastAsia="宋体" w:hAnsi="宋体" w:cs="宋体"/>
          <w:kern w:val="0"/>
          <w:sz w:val="18"/>
          <w:szCs w:val="18"/>
        </w:rPr>
      </w:pPr>
      <w:r w:rsidRPr="008230F2">
        <w:rPr>
          <w:rFonts w:ascii="宋体" w:eastAsia="宋体" w:hAnsi="宋体" w:cs="宋体"/>
          <w:kern w:val="0"/>
          <w:sz w:val="18"/>
          <w:szCs w:val="18"/>
        </w:rPr>
        <w:t>[1] 由于四舍五入原因，本文可能存在分项数据之和不等于合计数据的情形。</w:t>
      </w:r>
    </w:p>
    <w:p w14:paraId="5397F3E0" w14:textId="4116AEB2" w:rsidR="00D65804" w:rsidRPr="005B1A10" w:rsidRDefault="008230F2" w:rsidP="008230F2">
      <w:r w:rsidRPr="008230F2">
        <w:rPr>
          <w:rFonts w:ascii="宋体" w:eastAsia="宋体" w:hAnsi="宋体" w:cs="宋体"/>
          <w:kern w:val="0"/>
          <w:sz w:val="18"/>
          <w:szCs w:val="18"/>
        </w:rPr>
        <w:t>[2] 图2中仅列示正文所述截至当期末存续规模占比前六类资产，而其他类资产存续规模占比较低且分散，未在图2中详细列示。</w:t>
      </w:r>
    </w:p>
    <w:sectPr w:rsidR="00D65804" w:rsidRPr="005B1A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E9D2B" w14:textId="77777777" w:rsidR="00AB1338" w:rsidRDefault="00AB1338" w:rsidP="00AB1338">
      <w:r>
        <w:separator/>
      </w:r>
    </w:p>
  </w:endnote>
  <w:endnote w:type="continuationSeparator" w:id="0">
    <w:p w14:paraId="496E1020" w14:textId="77777777" w:rsidR="00AB1338" w:rsidRDefault="00AB1338" w:rsidP="00AB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94695" w14:textId="77777777" w:rsidR="00AB1338" w:rsidRDefault="00AB1338" w:rsidP="00AB1338">
      <w:r>
        <w:separator/>
      </w:r>
    </w:p>
  </w:footnote>
  <w:footnote w:type="continuationSeparator" w:id="0">
    <w:p w14:paraId="0C305A7A" w14:textId="77777777" w:rsidR="00AB1338" w:rsidRDefault="00AB1338" w:rsidP="00AB1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74641"/>
    <w:multiLevelType w:val="hybridMultilevel"/>
    <w:tmpl w:val="08608E3C"/>
    <w:lvl w:ilvl="0" w:tplc="2AEC273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10"/>
    <w:rsid w:val="005B1A10"/>
    <w:rsid w:val="006354BB"/>
    <w:rsid w:val="00726E3C"/>
    <w:rsid w:val="008043C7"/>
    <w:rsid w:val="008230F2"/>
    <w:rsid w:val="009C4B8D"/>
    <w:rsid w:val="00AB1338"/>
    <w:rsid w:val="00D65804"/>
    <w:rsid w:val="00FB4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9A0B1C"/>
  <w15:chartTrackingRefBased/>
  <w15:docId w15:val="{D1155281-86C3-428E-9FC1-DD9260C6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3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1338"/>
    <w:rPr>
      <w:sz w:val="18"/>
      <w:szCs w:val="18"/>
    </w:rPr>
  </w:style>
  <w:style w:type="paragraph" w:styleId="a5">
    <w:name w:val="footer"/>
    <w:basedOn w:val="a"/>
    <w:link w:val="a6"/>
    <w:uiPriority w:val="99"/>
    <w:unhideWhenUsed/>
    <w:rsid w:val="00AB1338"/>
    <w:pPr>
      <w:tabs>
        <w:tab w:val="center" w:pos="4153"/>
        <w:tab w:val="right" w:pos="8306"/>
      </w:tabs>
      <w:snapToGrid w:val="0"/>
      <w:jc w:val="left"/>
    </w:pPr>
    <w:rPr>
      <w:sz w:val="18"/>
      <w:szCs w:val="18"/>
    </w:rPr>
  </w:style>
  <w:style w:type="character" w:customStyle="1" w:styleId="a6">
    <w:name w:val="页脚 字符"/>
    <w:basedOn w:val="a0"/>
    <w:link w:val="a5"/>
    <w:uiPriority w:val="99"/>
    <w:rsid w:val="00AB1338"/>
    <w:rPr>
      <w:sz w:val="18"/>
      <w:szCs w:val="18"/>
    </w:rPr>
  </w:style>
  <w:style w:type="paragraph" w:styleId="a7">
    <w:name w:val="List Paragraph"/>
    <w:basedOn w:val="a"/>
    <w:uiPriority w:val="34"/>
    <w:qFormat/>
    <w:rsid w:val="00AB13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22712">
      <w:bodyDiv w:val="1"/>
      <w:marLeft w:val="0"/>
      <w:marRight w:val="0"/>
      <w:marTop w:val="0"/>
      <w:marBottom w:val="0"/>
      <w:divBdr>
        <w:top w:val="none" w:sz="0" w:space="0" w:color="auto"/>
        <w:left w:val="none" w:sz="0" w:space="0" w:color="auto"/>
        <w:bottom w:val="none" w:sz="0" w:space="0" w:color="auto"/>
        <w:right w:val="none" w:sz="0" w:space="0" w:color="auto"/>
      </w:divBdr>
    </w:div>
    <w:div w:id="393360058">
      <w:bodyDiv w:val="1"/>
      <w:marLeft w:val="0"/>
      <w:marRight w:val="0"/>
      <w:marTop w:val="0"/>
      <w:marBottom w:val="0"/>
      <w:divBdr>
        <w:top w:val="none" w:sz="0" w:space="0" w:color="auto"/>
        <w:left w:val="none" w:sz="0" w:space="0" w:color="auto"/>
        <w:bottom w:val="none" w:sz="0" w:space="0" w:color="auto"/>
        <w:right w:val="none" w:sz="0" w:space="0" w:color="auto"/>
      </w:divBdr>
    </w:div>
    <w:div w:id="1127626033">
      <w:bodyDiv w:val="1"/>
      <w:marLeft w:val="0"/>
      <w:marRight w:val="0"/>
      <w:marTop w:val="0"/>
      <w:marBottom w:val="0"/>
      <w:divBdr>
        <w:top w:val="none" w:sz="0" w:space="0" w:color="auto"/>
        <w:left w:val="none" w:sz="0" w:space="0" w:color="auto"/>
        <w:bottom w:val="none" w:sz="0" w:space="0" w:color="auto"/>
        <w:right w:val="none" w:sz="0" w:space="0" w:color="auto"/>
      </w:divBdr>
    </w:div>
    <w:div w:id="1502041904">
      <w:bodyDiv w:val="1"/>
      <w:marLeft w:val="0"/>
      <w:marRight w:val="0"/>
      <w:marTop w:val="0"/>
      <w:marBottom w:val="0"/>
      <w:divBdr>
        <w:top w:val="none" w:sz="0" w:space="0" w:color="auto"/>
        <w:left w:val="none" w:sz="0" w:space="0" w:color="auto"/>
        <w:bottom w:val="none" w:sz="0" w:space="0" w:color="auto"/>
        <w:right w:val="none" w:sz="0" w:space="0" w:color="auto"/>
      </w:divBdr>
    </w:div>
    <w:div w:id="17982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nie</dc:creator>
  <cp:keywords/>
  <dc:description/>
  <cp:lastModifiedBy>ap</cp:lastModifiedBy>
  <cp:revision>3</cp:revision>
  <dcterms:created xsi:type="dcterms:W3CDTF">2020-06-30T03:56:00Z</dcterms:created>
  <dcterms:modified xsi:type="dcterms:W3CDTF">2020-06-30T04:00:00Z</dcterms:modified>
</cp:coreProperties>
</file>