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黑体" w:eastAsia="方正小标宋简体"/>
          <w:color w:val="000000" w:themeColor="text1"/>
          <w:sz w:val="36"/>
          <w:szCs w:val="36"/>
          <w14:textFill>
            <w14:solidFill>
              <w14:schemeClr w14:val="tx1"/>
            </w14:solidFill>
          </w14:textFill>
        </w:rPr>
      </w:pPr>
      <w:bookmarkStart w:id="0" w:name="_Hlk105430056"/>
      <w:r>
        <w:rPr>
          <w:rFonts w:hint="eastAsia" w:ascii="方正小标宋简体" w:hAnsi="黑体" w:eastAsia="方正小标宋简体"/>
          <w:color w:val="000000" w:themeColor="text1"/>
          <w:sz w:val="36"/>
          <w:szCs w:val="36"/>
          <w14:textFill>
            <w14:solidFill>
              <w14:schemeClr w14:val="tx1"/>
            </w14:solidFill>
          </w14:textFill>
        </w:rPr>
        <w:t>证券业务示范实践第</w:t>
      </w:r>
      <w:r>
        <w:rPr>
          <w:rFonts w:ascii="方正小标宋简体" w:hAnsi="黑体" w:eastAsia="方正小标宋简体"/>
          <w:color w:val="000000" w:themeColor="text1"/>
          <w:sz w:val="36"/>
          <w:szCs w:val="36"/>
          <w14:textFill>
            <w14:solidFill>
              <w14:schemeClr w14:val="tx1"/>
            </w14:solidFill>
          </w14:textFill>
        </w:rPr>
        <w:t>3号-</w:t>
      </w:r>
      <w:r>
        <w:rPr>
          <w:rFonts w:hint="eastAsia" w:ascii="方正小标宋简体" w:hAnsi="黑体" w:eastAsia="方正小标宋简体"/>
          <w:color w:val="000000" w:themeColor="text1"/>
          <w:sz w:val="36"/>
          <w:szCs w:val="36"/>
          <w14:textFill>
            <w14:solidFill>
              <w14:schemeClr w14:val="tx1"/>
            </w14:solidFill>
          </w14:textFill>
        </w:rPr>
        <w:t>保荐人尽职调查</w:t>
      </w:r>
    </w:p>
    <w:bookmarkEnd w:id="0"/>
    <w:p>
      <w:pPr>
        <w:spacing w:line="360" w:lineRule="auto"/>
        <w:jc w:val="center"/>
        <w:rPr>
          <w:rFonts w:ascii="方正小标宋简体" w:hAnsi="黑体" w:eastAsia="方正小标宋简体"/>
          <w:color w:val="000000" w:themeColor="text1"/>
          <w:sz w:val="28"/>
          <w:szCs w:val="28"/>
          <w14:textFill>
            <w14:solidFill>
              <w14:schemeClr w14:val="tx1"/>
            </w14:solidFill>
          </w14:textFill>
        </w:rPr>
      </w:pPr>
      <w:r>
        <w:rPr>
          <w:rFonts w:ascii="方正小标宋简体" w:hAnsi="黑体" w:eastAsia="方正小标宋简体"/>
          <w:color w:val="000000" w:themeColor="text1"/>
          <w:sz w:val="28"/>
          <w:szCs w:val="28"/>
          <w14:textFill>
            <w14:solidFill>
              <w14:schemeClr w14:val="tx1"/>
            </w14:solidFill>
          </w14:textFill>
        </w:rPr>
        <w:t xml:space="preserve"> </w:t>
      </w:r>
    </w:p>
    <w:sdt>
      <w:sdtPr>
        <w:rPr>
          <w:rFonts w:ascii="等线" w:hAnsi="等线" w:eastAsia="宋体" w:cs="Times New Roman"/>
          <w:b w:val="0"/>
          <w:bCs w:val="0"/>
          <w:color w:val="auto"/>
          <w:kern w:val="2"/>
          <w:sz w:val="24"/>
          <w:szCs w:val="22"/>
          <w:lang w:val="zh-CN"/>
        </w:rPr>
        <w:id w:val="-1989310912"/>
      </w:sdtPr>
      <w:sdtEndPr>
        <w:rPr>
          <w:rFonts w:ascii="仿宋" w:hAnsi="仿宋" w:eastAsiaTheme="minorEastAsia" w:cstheme="minorBidi"/>
          <w:b w:val="0"/>
          <w:bCs w:val="0"/>
          <w:color w:val="auto"/>
          <w:kern w:val="2"/>
          <w:sz w:val="24"/>
          <w:szCs w:val="24"/>
          <w:lang w:val="zh-CN"/>
        </w:rPr>
      </w:sdtEndPr>
      <w:sdtContent>
        <w:p>
          <w:pPr>
            <w:pStyle w:val="42"/>
            <w:spacing w:before="0" w:line="360" w:lineRule="auto"/>
            <w:jc w:val="center"/>
            <w:rPr>
              <w:rFonts w:ascii="仿宋_GB2312" w:hAnsi="仿宋"/>
              <w:color w:val="auto"/>
              <w:sz w:val="32"/>
            </w:rPr>
          </w:pPr>
          <w:r>
            <w:rPr>
              <w:rFonts w:hint="eastAsia" w:ascii="仿宋_GB2312" w:hAnsi="黑体"/>
              <w:color w:val="auto"/>
              <w:sz w:val="40"/>
              <w:lang w:val="zh-CN"/>
            </w:rPr>
            <w:t>目录</w:t>
          </w:r>
        </w:p>
        <w:p>
          <w:pPr>
            <w:pStyle w:val="15"/>
            <w:tabs>
              <w:tab w:val="right" w:leader="dot" w:pos="8302"/>
            </w:tabs>
            <w:rPr>
              <w:rFonts w:asciiTheme="minorHAnsi" w:hAnsiTheme="minorHAnsi" w:eastAsiaTheme="minorEastAsia" w:cstheme="minorBidi"/>
              <w:sz w:val="24"/>
              <w:szCs w:val="24"/>
            </w:rPr>
          </w:pPr>
          <w:r>
            <w:rPr>
              <w:rFonts w:hint="eastAsia" w:ascii="仿宋_GB2312" w:hAnsi="仿宋"/>
              <w:sz w:val="24"/>
              <w:szCs w:val="24"/>
            </w:rPr>
            <w:fldChar w:fldCharType="begin"/>
          </w:r>
          <w:r>
            <w:rPr>
              <w:rFonts w:hint="eastAsia" w:ascii="仿宋_GB2312" w:hAnsi="仿宋" w:eastAsia="仿宋_GB2312"/>
              <w:sz w:val="24"/>
              <w:szCs w:val="24"/>
            </w:rPr>
            <w:instrText xml:space="preserve"> TOC \o "1-3" \h \z \u </w:instrText>
          </w:r>
          <w:r>
            <w:rPr>
              <w:rFonts w:hint="eastAsia" w:ascii="仿宋_GB2312" w:hAnsi="仿宋"/>
              <w:sz w:val="24"/>
              <w:szCs w:val="24"/>
            </w:rPr>
            <w:fldChar w:fldCharType="separate"/>
          </w:r>
          <w:r>
            <w:fldChar w:fldCharType="begin"/>
          </w:r>
          <w:r>
            <w:instrText xml:space="preserve"> HYPERLINK \l "_Toc105940589" </w:instrText>
          </w:r>
          <w:r>
            <w:fldChar w:fldCharType="separate"/>
          </w:r>
          <w:r>
            <w:rPr>
              <w:rStyle w:val="25"/>
              <w:rFonts w:ascii="仿宋_GB2312" w:hAnsi="宋体" w:eastAsia="仿宋_GB2312"/>
              <w:sz w:val="24"/>
              <w:szCs w:val="24"/>
            </w:rPr>
            <w:t>第一章 总则</w:t>
          </w:r>
          <w:r>
            <w:rPr>
              <w:sz w:val="24"/>
              <w:szCs w:val="24"/>
            </w:rPr>
            <w:tab/>
          </w:r>
          <w:r>
            <w:rPr>
              <w:sz w:val="24"/>
              <w:szCs w:val="24"/>
            </w:rPr>
            <w:fldChar w:fldCharType="begin"/>
          </w:r>
          <w:r>
            <w:rPr>
              <w:sz w:val="24"/>
              <w:szCs w:val="24"/>
            </w:rPr>
            <w:instrText xml:space="preserve"> PAGEREF _Toc105940589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"_Toc105940590" </w:instrText>
          </w:r>
          <w:r>
            <w:fldChar w:fldCharType="separate"/>
          </w:r>
          <w:r>
            <w:rPr>
              <w:rStyle w:val="25"/>
              <w:rFonts w:ascii="仿宋_GB2312" w:hAnsi="宋体" w:eastAsia="仿宋_GB2312"/>
              <w:sz w:val="24"/>
              <w:szCs w:val="24"/>
            </w:rPr>
            <w:t>1.1  起草原则</w:t>
          </w:r>
          <w:r>
            <w:rPr>
              <w:sz w:val="24"/>
              <w:szCs w:val="24"/>
            </w:rPr>
            <w:tab/>
          </w:r>
          <w:r>
            <w:rPr>
              <w:sz w:val="24"/>
              <w:szCs w:val="24"/>
            </w:rPr>
            <w:fldChar w:fldCharType="begin"/>
          </w:r>
          <w:r>
            <w:rPr>
              <w:sz w:val="24"/>
              <w:szCs w:val="24"/>
            </w:rPr>
            <w:instrText xml:space="preserve"> PAGEREF _Toc105940590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"_Toc105940591" </w:instrText>
          </w:r>
          <w:r>
            <w:fldChar w:fldCharType="separate"/>
          </w:r>
          <w:r>
            <w:rPr>
              <w:rStyle w:val="25"/>
              <w:rFonts w:ascii="仿宋_GB2312" w:hAnsi="宋体" w:eastAsia="仿宋_GB2312"/>
              <w:sz w:val="24"/>
              <w:szCs w:val="24"/>
            </w:rPr>
            <w:t>1.2  适用范围</w:t>
          </w:r>
          <w:r>
            <w:rPr>
              <w:sz w:val="24"/>
              <w:szCs w:val="24"/>
            </w:rPr>
            <w:tab/>
          </w:r>
          <w:r>
            <w:rPr>
              <w:sz w:val="24"/>
              <w:szCs w:val="24"/>
            </w:rPr>
            <w:fldChar w:fldCharType="begin"/>
          </w:r>
          <w:r>
            <w:rPr>
              <w:sz w:val="24"/>
              <w:szCs w:val="24"/>
            </w:rPr>
            <w:instrText xml:space="preserve"> PAGEREF _Toc105940591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"_Toc105940592" </w:instrText>
          </w:r>
          <w:r>
            <w:fldChar w:fldCharType="separate"/>
          </w:r>
          <w:r>
            <w:rPr>
              <w:rStyle w:val="25"/>
              <w:rFonts w:ascii="仿宋_GB2312" w:hAnsi="宋体" w:eastAsia="仿宋_GB2312"/>
              <w:sz w:val="24"/>
              <w:szCs w:val="24"/>
            </w:rPr>
            <w:t>1.3  适用方法</w:t>
          </w:r>
          <w:r>
            <w:rPr>
              <w:sz w:val="24"/>
              <w:szCs w:val="24"/>
            </w:rPr>
            <w:tab/>
          </w:r>
          <w:r>
            <w:rPr>
              <w:sz w:val="24"/>
              <w:szCs w:val="24"/>
            </w:rPr>
            <w:fldChar w:fldCharType="begin"/>
          </w:r>
          <w:r>
            <w:rPr>
              <w:sz w:val="24"/>
              <w:szCs w:val="24"/>
            </w:rPr>
            <w:instrText xml:space="preserve"> PAGEREF _Toc105940592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"_Toc105940593" </w:instrText>
          </w:r>
          <w:r>
            <w:fldChar w:fldCharType="separate"/>
          </w:r>
          <w:r>
            <w:rPr>
              <w:rStyle w:val="25"/>
              <w:rFonts w:ascii="仿宋_GB2312" w:hAnsi="宋体" w:eastAsia="仿宋_GB2312"/>
              <w:sz w:val="24"/>
              <w:szCs w:val="24"/>
            </w:rPr>
            <w:t>1.4  勤勉尽责</w:t>
          </w:r>
          <w:r>
            <w:rPr>
              <w:sz w:val="24"/>
              <w:szCs w:val="24"/>
            </w:rPr>
            <w:tab/>
          </w:r>
          <w:r>
            <w:rPr>
              <w:sz w:val="24"/>
              <w:szCs w:val="24"/>
            </w:rPr>
            <w:fldChar w:fldCharType="begin"/>
          </w:r>
          <w:r>
            <w:rPr>
              <w:sz w:val="24"/>
              <w:szCs w:val="24"/>
            </w:rPr>
            <w:instrText xml:space="preserve"> PAGEREF _Toc105940593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"_Toc105940594" </w:instrText>
          </w:r>
          <w:r>
            <w:fldChar w:fldCharType="separate"/>
          </w:r>
          <w:r>
            <w:rPr>
              <w:rStyle w:val="25"/>
              <w:rFonts w:ascii="仿宋_GB2312" w:hAnsi="宋体" w:eastAsia="仿宋_GB2312"/>
              <w:sz w:val="24"/>
              <w:szCs w:val="24"/>
            </w:rPr>
            <w:t>1.5  核查验证与合理信赖</w:t>
          </w:r>
          <w:r>
            <w:rPr>
              <w:sz w:val="24"/>
              <w:szCs w:val="24"/>
            </w:rPr>
            <w:tab/>
          </w:r>
          <w:r>
            <w:rPr>
              <w:sz w:val="24"/>
              <w:szCs w:val="24"/>
            </w:rPr>
            <w:fldChar w:fldCharType="begin"/>
          </w:r>
          <w:r>
            <w:rPr>
              <w:sz w:val="24"/>
              <w:szCs w:val="24"/>
            </w:rPr>
            <w:instrText xml:space="preserve"> PAGEREF _Toc105940594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"_Toc105940595" </w:instrText>
          </w:r>
          <w:r>
            <w:fldChar w:fldCharType="separate"/>
          </w:r>
          <w:r>
            <w:rPr>
              <w:rStyle w:val="25"/>
              <w:rFonts w:ascii="仿宋_GB2312" w:hAnsi="宋体" w:eastAsia="仿宋_GB2312"/>
              <w:sz w:val="24"/>
              <w:szCs w:val="24"/>
            </w:rPr>
            <w:t>1.6  关于选聘第三方</w:t>
          </w:r>
          <w:r>
            <w:rPr>
              <w:sz w:val="24"/>
              <w:szCs w:val="24"/>
            </w:rPr>
            <w:tab/>
          </w:r>
          <w:r>
            <w:rPr>
              <w:sz w:val="24"/>
              <w:szCs w:val="24"/>
            </w:rPr>
            <w:fldChar w:fldCharType="begin"/>
          </w:r>
          <w:r>
            <w:rPr>
              <w:sz w:val="24"/>
              <w:szCs w:val="24"/>
            </w:rPr>
            <w:instrText xml:space="preserve"> PAGEREF _Toc105940595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"_Toc105940596" </w:instrText>
          </w:r>
          <w:r>
            <w:fldChar w:fldCharType="separate"/>
          </w:r>
          <w:r>
            <w:rPr>
              <w:rStyle w:val="25"/>
              <w:rFonts w:ascii="仿宋_GB2312" w:hAnsi="宋体" w:eastAsia="仿宋_GB2312"/>
              <w:sz w:val="24"/>
              <w:szCs w:val="24"/>
            </w:rPr>
            <w:t>1.7  重要性原则及重要性水平</w:t>
          </w:r>
          <w:r>
            <w:rPr>
              <w:sz w:val="24"/>
              <w:szCs w:val="24"/>
            </w:rPr>
            <w:tab/>
          </w:r>
          <w:r>
            <w:rPr>
              <w:sz w:val="24"/>
              <w:szCs w:val="24"/>
            </w:rPr>
            <w:fldChar w:fldCharType="begin"/>
          </w:r>
          <w:r>
            <w:rPr>
              <w:sz w:val="24"/>
              <w:szCs w:val="24"/>
            </w:rPr>
            <w:instrText xml:space="preserve"> PAGEREF _Toc105940596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tabs>
              <w:tab w:val="right" w:leader="dot" w:pos="8302"/>
            </w:tabs>
            <w:rPr>
              <w:rFonts w:asciiTheme="minorHAnsi" w:hAnsiTheme="minorHAnsi" w:eastAsiaTheme="minorEastAsia" w:cstheme="minorBidi"/>
              <w:sz w:val="24"/>
              <w:szCs w:val="24"/>
            </w:rPr>
          </w:pPr>
          <w:r>
            <w:fldChar w:fldCharType="begin"/>
          </w:r>
          <w:r>
            <w:instrText xml:space="preserve"> HYPERLINK \l "_Toc105940597" </w:instrText>
          </w:r>
          <w:r>
            <w:fldChar w:fldCharType="separate"/>
          </w:r>
          <w:r>
            <w:rPr>
              <w:rStyle w:val="25"/>
              <w:rFonts w:ascii="仿宋_GB2312" w:hAnsi="宋体" w:eastAsia="仿宋_GB2312"/>
              <w:sz w:val="24"/>
              <w:szCs w:val="24"/>
            </w:rPr>
            <w:t>第二章  辅导相关的职责和实施</w:t>
          </w:r>
          <w:r>
            <w:rPr>
              <w:sz w:val="24"/>
              <w:szCs w:val="24"/>
            </w:rPr>
            <w:tab/>
          </w:r>
          <w:r>
            <w:rPr>
              <w:sz w:val="24"/>
              <w:szCs w:val="24"/>
            </w:rPr>
            <w:fldChar w:fldCharType="begin"/>
          </w:r>
          <w:r>
            <w:rPr>
              <w:sz w:val="24"/>
              <w:szCs w:val="24"/>
            </w:rPr>
            <w:instrText xml:space="preserve"> PAGEREF _Toc105940597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"_Toc105940598" </w:instrText>
          </w:r>
          <w:r>
            <w:fldChar w:fldCharType="separate"/>
          </w:r>
          <w:r>
            <w:rPr>
              <w:rStyle w:val="25"/>
              <w:rFonts w:ascii="仿宋_GB2312" w:hAnsi="宋体" w:eastAsia="仿宋_GB2312"/>
              <w:sz w:val="24"/>
              <w:szCs w:val="24"/>
            </w:rPr>
            <w:t>2.1  辅导工作的目标</w:t>
          </w:r>
          <w:r>
            <w:rPr>
              <w:sz w:val="24"/>
              <w:szCs w:val="24"/>
            </w:rPr>
            <w:tab/>
          </w:r>
          <w:r>
            <w:rPr>
              <w:sz w:val="24"/>
              <w:szCs w:val="24"/>
            </w:rPr>
            <w:fldChar w:fldCharType="begin"/>
          </w:r>
          <w:r>
            <w:rPr>
              <w:sz w:val="24"/>
              <w:szCs w:val="24"/>
            </w:rPr>
            <w:instrText xml:space="preserve"> PAGEREF _Toc105940598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"_Toc105940599" </w:instrText>
          </w:r>
          <w:r>
            <w:fldChar w:fldCharType="separate"/>
          </w:r>
          <w:r>
            <w:rPr>
              <w:rStyle w:val="25"/>
              <w:rFonts w:ascii="仿宋_GB2312" w:hAnsi="宋体" w:eastAsia="仿宋_GB2312"/>
              <w:sz w:val="24"/>
              <w:szCs w:val="24"/>
            </w:rPr>
            <w:t>2.2  保荐人参与辅导工作的职责</w:t>
          </w:r>
          <w:r>
            <w:rPr>
              <w:sz w:val="24"/>
              <w:szCs w:val="24"/>
            </w:rPr>
            <w:tab/>
          </w:r>
          <w:r>
            <w:rPr>
              <w:sz w:val="24"/>
              <w:szCs w:val="24"/>
            </w:rPr>
            <w:fldChar w:fldCharType="begin"/>
          </w:r>
          <w:r>
            <w:rPr>
              <w:sz w:val="24"/>
              <w:szCs w:val="24"/>
            </w:rPr>
            <w:instrText xml:space="preserve"> PAGEREF _Toc105940599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"_Toc105940600" </w:instrText>
          </w:r>
          <w:r>
            <w:fldChar w:fldCharType="separate"/>
          </w:r>
          <w:r>
            <w:rPr>
              <w:rStyle w:val="25"/>
              <w:rFonts w:ascii="仿宋_GB2312" w:hAnsi="宋体" w:eastAsia="仿宋_GB2312"/>
              <w:sz w:val="24"/>
              <w:szCs w:val="24"/>
            </w:rPr>
            <w:t>2.3  保荐人参与辅导工作的具体工作内容</w:t>
          </w:r>
          <w:r>
            <w:rPr>
              <w:sz w:val="24"/>
              <w:szCs w:val="24"/>
            </w:rPr>
            <w:tab/>
          </w:r>
          <w:r>
            <w:rPr>
              <w:sz w:val="24"/>
              <w:szCs w:val="24"/>
            </w:rPr>
            <w:fldChar w:fldCharType="begin"/>
          </w:r>
          <w:r>
            <w:rPr>
              <w:sz w:val="24"/>
              <w:szCs w:val="24"/>
            </w:rPr>
            <w:instrText xml:space="preserve"> PAGEREF _Toc105940600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"_Toc105940601" </w:instrText>
          </w:r>
          <w:r>
            <w:fldChar w:fldCharType="separate"/>
          </w:r>
          <w:r>
            <w:rPr>
              <w:rStyle w:val="25"/>
              <w:rFonts w:ascii="仿宋_GB2312" w:hAnsi="宋体" w:eastAsia="仿宋_GB2312"/>
              <w:sz w:val="24"/>
              <w:szCs w:val="24"/>
            </w:rPr>
            <w:t>2.4  保荐人参与辅导工作的实施程序</w:t>
          </w:r>
          <w:r>
            <w:rPr>
              <w:sz w:val="24"/>
              <w:szCs w:val="24"/>
            </w:rPr>
            <w:tab/>
          </w:r>
          <w:r>
            <w:rPr>
              <w:sz w:val="24"/>
              <w:szCs w:val="24"/>
            </w:rPr>
            <w:fldChar w:fldCharType="begin"/>
          </w:r>
          <w:r>
            <w:rPr>
              <w:sz w:val="24"/>
              <w:szCs w:val="24"/>
            </w:rPr>
            <w:instrText xml:space="preserve"> PAGEREF _Toc105940601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"_Toc105940602" </w:instrText>
          </w:r>
          <w:r>
            <w:fldChar w:fldCharType="separate"/>
          </w:r>
          <w:r>
            <w:rPr>
              <w:rStyle w:val="25"/>
              <w:rFonts w:ascii="仿宋_GB2312" w:hAnsi="宋体" w:eastAsia="仿宋_GB2312"/>
              <w:sz w:val="24"/>
              <w:szCs w:val="24"/>
            </w:rPr>
            <w:t>2.5  保荐人参与辅导工作需达到的效果</w:t>
          </w:r>
          <w:r>
            <w:rPr>
              <w:sz w:val="24"/>
              <w:szCs w:val="24"/>
            </w:rPr>
            <w:tab/>
          </w:r>
          <w:r>
            <w:rPr>
              <w:sz w:val="24"/>
              <w:szCs w:val="24"/>
            </w:rPr>
            <w:fldChar w:fldCharType="begin"/>
          </w:r>
          <w:r>
            <w:rPr>
              <w:sz w:val="24"/>
              <w:szCs w:val="24"/>
            </w:rPr>
            <w:instrText xml:space="preserve"> PAGEREF _Toc105940602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tabs>
              <w:tab w:val="right" w:leader="dot" w:pos="8302"/>
            </w:tabs>
            <w:rPr>
              <w:rFonts w:asciiTheme="minorHAnsi" w:hAnsiTheme="minorHAnsi" w:eastAsiaTheme="minorEastAsia" w:cstheme="minorBidi"/>
              <w:sz w:val="24"/>
              <w:szCs w:val="24"/>
            </w:rPr>
          </w:pPr>
          <w:r>
            <w:fldChar w:fldCharType="begin"/>
          </w:r>
          <w:r>
            <w:instrText xml:space="preserve"> HYPERLINK \l "_Toc105940603" </w:instrText>
          </w:r>
          <w:r>
            <w:fldChar w:fldCharType="separate"/>
          </w:r>
          <w:r>
            <w:rPr>
              <w:rStyle w:val="25"/>
              <w:rFonts w:ascii="仿宋_GB2312" w:hAnsi="宋体" w:eastAsia="仿宋_GB2312"/>
              <w:sz w:val="24"/>
              <w:szCs w:val="24"/>
            </w:rPr>
            <w:t>第三章 板块定位的尽职调查</w:t>
          </w:r>
          <w:r>
            <w:rPr>
              <w:sz w:val="24"/>
              <w:szCs w:val="24"/>
            </w:rPr>
            <w:tab/>
          </w:r>
          <w:r>
            <w:rPr>
              <w:sz w:val="24"/>
              <w:szCs w:val="24"/>
            </w:rPr>
            <w:fldChar w:fldCharType="begin"/>
          </w:r>
          <w:r>
            <w:rPr>
              <w:sz w:val="24"/>
              <w:szCs w:val="24"/>
            </w:rPr>
            <w:instrText xml:space="preserve"> PAGEREF _Toc105940603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"_Toc105940604" </w:instrText>
          </w:r>
          <w:r>
            <w:fldChar w:fldCharType="separate"/>
          </w:r>
          <w:r>
            <w:rPr>
              <w:rStyle w:val="25"/>
              <w:rFonts w:ascii="仿宋_GB2312" w:hAnsi="宋体" w:eastAsia="仿宋_GB2312"/>
              <w:sz w:val="24"/>
              <w:szCs w:val="24"/>
            </w:rPr>
            <w:t>3.1  上市板块的选择</w:t>
          </w:r>
          <w:r>
            <w:rPr>
              <w:sz w:val="24"/>
              <w:szCs w:val="24"/>
            </w:rPr>
            <w:tab/>
          </w:r>
          <w:r>
            <w:rPr>
              <w:sz w:val="24"/>
              <w:szCs w:val="24"/>
            </w:rPr>
            <w:fldChar w:fldCharType="begin"/>
          </w:r>
          <w:r>
            <w:rPr>
              <w:sz w:val="24"/>
              <w:szCs w:val="24"/>
            </w:rPr>
            <w:instrText xml:space="preserve"> PAGEREF _Toc105940604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"_Toc105940605" </w:instrText>
          </w:r>
          <w:r>
            <w:fldChar w:fldCharType="separate"/>
          </w:r>
          <w:r>
            <w:rPr>
              <w:rStyle w:val="25"/>
              <w:rFonts w:ascii="仿宋_GB2312" w:hAnsi="宋体" w:eastAsia="仿宋_GB2312"/>
              <w:sz w:val="24"/>
              <w:szCs w:val="24"/>
            </w:rPr>
            <w:t>3.2  科创板定位</w:t>
          </w:r>
          <w:r>
            <w:rPr>
              <w:sz w:val="24"/>
              <w:szCs w:val="24"/>
            </w:rPr>
            <w:tab/>
          </w:r>
          <w:r>
            <w:rPr>
              <w:sz w:val="24"/>
              <w:szCs w:val="24"/>
            </w:rPr>
            <w:fldChar w:fldCharType="begin"/>
          </w:r>
          <w:r>
            <w:rPr>
              <w:sz w:val="24"/>
              <w:szCs w:val="24"/>
            </w:rPr>
            <w:instrText xml:space="preserve"> PAGEREF _Toc105940605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"_Toc105940606" </w:instrText>
          </w:r>
          <w:r>
            <w:fldChar w:fldCharType="separate"/>
          </w:r>
          <w:r>
            <w:rPr>
              <w:rStyle w:val="25"/>
              <w:rFonts w:ascii="仿宋_GB2312" w:hAnsi="宋体" w:eastAsia="仿宋_GB2312"/>
              <w:sz w:val="24"/>
              <w:szCs w:val="24"/>
            </w:rPr>
            <w:t>3.3  创业板定位</w:t>
          </w:r>
          <w:r>
            <w:rPr>
              <w:sz w:val="24"/>
              <w:szCs w:val="24"/>
            </w:rPr>
            <w:tab/>
          </w:r>
          <w:r>
            <w:rPr>
              <w:sz w:val="24"/>
              <w:szCs w:val="24"/>
            </w:rPr>
            <w:fldChar w:fldCharType="begin"/>
          </w:r>
          <w:r>
            <w:rPr>
              <w:sz w:val="24"/>
              <w:szCs w:val="24"/>
            </w:rPr>
            <w:instrText xml:space="preserve"> PAGEREF _Toc105940606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"_Toc105940607" </w:instrText>
          </w:r>
          <w:r>
            <w:fldChar w:fldCharType="separate"/>
          </w:r>
          <w:r>
            <w:rPr>
              <w:rStyle w:val="25"/>
              <w:rFonts w:ascii="仿宋_GB2312" w:hAnsi="宋体" w:eastAsia="仿宋_GB2312"/>
              <w:sz w:val="24"/>
              <w:szCs w:val="24"/>
            </w:rPr>
            <w:t>3.4  北交所定位</w:t>
          </w:r>
          <w:r>
            <w:rPr>
              <w:sz w:val="24"/>
              <w:szCs w:val="24"/>
            </w:rPr>
            <w:tab/>
          </w:r>
          <w:r>
            <w:rPr>
              <w:sz w:val="24"/>
              <w:szCs w:val="24"/>
            </w:rPr>
            <w:fldChar w:fldCharType="begin"/>
          </w:r>
          <w:r>
            <w:rPr>
              <w:sz w:val="24"/>
              <w:szCs w:val="24"/>
            </w:rPr>
            <w:instrText xml:space="preserve"> PAGEREF _Toc105940607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5"/>
            <w:tabs>
              <w:tab w:val="right" w:leader="dot" w:pos="8302"/>
            </w:tabs>
            <w:rPr>
              <w:rFonts w:asciiTheme="minorHAnsi" w:hAnsiTheme="minorHAnsi" w:eastAsiaTheme="minorEastAsia" w:cstheme="minorBidi"/>
              <w:sz w:val="24"/>
              <w:szCs w:val="24"/>
            </w:rPr>
          </w:pPr>
          <w:r>
            <w:fldChar w:fldCharType="begin"/>
          </w:r>
          <w:r>
            <w:instrText xml:space="preserve"> HYPERLINK \l "_Toc105940608" </w:instrText>
          </w:r>
          <w:r>
            <w:fldChar w:fldCharType="separate"/>
          </w:r>
          <w:r>
            <w:rPr>
              <w:rStyle w:val="25"/>
              <w:rFonts w:ascii="仿宋_GB2312" w:hAnsi="宋体" w:eastAsia="仿宋_GB2312"/>
              <w:sz w:val="24"/>
              <w:szCs w:val="24"/>
            </w:rPr>
            <w:t>第四章  推荐期间的尽职调查</w:t>
          </w:r>
          <w:r>
            <w:rPr>
              <w:sz w:val="24"/>
              <w:szCs w:val="24"/>
            </w:rPr>
            <w:tab/>
          </w:r>
          <w:r>
            <w:rPr>
              <w:sz w:val="24"/>
              <w:szCs w:val="24"/>
            </w:rPr>
            <w:fldChar w:fldCharType="begin"/>
          </w:r>
          <w:r>
            <w:rPr>
              <w:sz w:val="24"/>
              <w:szCs w:val="24"/>
            </w:rPr>
            <w:instrText xml:space="preserve"> PAGEREF _Toc105940608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"_Toc105940609" </w:instrText>
          </w:r>
          <w:r>
            <w:fldChar w:fldCharType="separate"/>
          </w:r>
          <w:r>
            <w:rPr>
              <w:rStyle w:val="25"/>
              <w:rFonts w:ascii="仿宋_GB2312" w:hAnsi="宋体" w:eastAsia="仿宋_GB2312"/>
              <w:sz w:val="24"/>
              <w:szCs w:val="24"/>
            </w:rPr>
            <w:t>4.1  尽职调查的主要内容</w:t>
          </w:r>
          <w:r>
            <w:rPr>
              <w:sz w:val="24"/>
              <w:szCs w:val="24"/>
            </w:rPr>
            <w:tab/>
          </w:r>
          <w:r>
            <w:rPr>
              <w:sz w:val="24"/>
              <w:szCs w:val="24"/>
            </w:rPr>
            <w:fldChar w:fldCharType="begin"/>
          </w:r>
          <w:r>
            <w:rPr>
              <w:sz w:val="24"/>
              <w:szCs w:val="24"/>
            </w:rPr>
            <w:instrText xml:space="preserve"> PAGEREF _Toc105940609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"_Toc105940610" </w:instrText>
          </w:r>
          <w:r>
            <w:fldChar w:fldCharType="separate"/>
          </w:r>
          <w:r>
            <w:rPr>
              <w:rStyle w:val="25"/>
              <w:rFonts w:ascii="仿宋_GB2312" w:hAnsi="宋体" w:eastAsia="仿宋_GB2312"/>
              <w:sz w:val="24"/>
              <w:szCs w:val="24"/>
            </w:rPr>
            <w:t>4.2  尽职调查的主要原则</w:t>
          </w:r>
          <w:r>
            <w:rPr>
              <w:sz w:val="24"/>
              <w:szCs w:val="24"/>
            </w:rPr>
            <w:tab/>
          </w:r>
          <w:r>
            <w:rPr>
              <w:sz w:val="24"/>
              <w:szCs w:val="24"/>
            </w:rPr>
            <w:fldChar w:fldCharType="begin"/>
          </w:r>
          <w:r>
            <w:rPr>
              <w:sz w:val="24"/>
              <w:szCs w:val="24"/>
            </w:rPr>
            <w:instrText xml:space="preserve"> PAGEREF _Toc105940610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"_Toc105940611" </w:instrText>
          </w:r>
          <w:r>
            <w:fldChar w:fldCharType="separate"/>
          </w:r>
          <w:r>
            <w:rPr>
              <w:rStyle w:val="25"/>
              <w:rFonts w:ascii="仿宋_GB2312" w:hAnsi="宋体" w:eastAsia="仿宋_GB2312"/>
              <w:sz w:val="24"/>
              <w:szCs w:val="24"/>
            </w:rPr>
            <w:t>4.3  尽职调查的方法</w:t>
          </w:r>
          <w:r>
            <w:rPr>
              <w:sz w:val="24"/>
              <w:szCs w:val="24"/>
            </w:rPr>
            <w:tab/>
          </w:r>
          <w:r>
            <w:rPr>
              <w:sz w:val="24"/>
              <w:szCs w:val="24"/>
            </w:rPr>
            <w:fldChar w:fldCharType="begin"/>
          </w:r>
          <w:r>
            <w:rPr>
              <w:sz w:val="24"/>
              <w:szCs w:val="24"/>
            </w:rPr>
            <w:instrText xml:space="preserve"> PAGEREF _Toc105940611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"_Toc105940612" </w:instrText>
          </w:r>
          <w:r>
            <w:fldChar w:fldCharType="separate"/>
          </w:r>
          <w:r>
            <w:rPr>
              <w:rStyle w:val="25"/>
              <w:rFonts w:ascii="仿宋_GB2312" w:hAnsi="宋体" w:eastAsia="仿宋_GB2312"/>
              <w:sz w:val="24"/>
              <w:szCs w:val="24"/>
            </w:rPr>
            <w:t>4.4  尽职调查的持续性</w:t>
          </w:r>
          <w:r>
            <w:rPr>
              <w:sz w:val="24"/>
              <w:szCs w:val="24"/>
            </w:rPr>
            <w:tab/>
          </w:r>
          <w:r>
            <w:rPr>
              <w:sz w:val="24"/>
              <w:szCs w:val="24"/>
            </w:rPr>
            <w:fldChar w:fldCharType="begin"/>
          </w:r>
          <w:r>
            <w:rPr>
              <w:sz w:val="24"/>
              <w:szCs w:val="24"/>
            </w:rPr>
            <w:instrText xml:space="preserve"> PAGEREF _Toc105940612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"_Toc105940613" </w:instrText>
          </w:r>
          <w:r>
            <w:fldChar w:fldCharType="separate"/>
          </w:r>
          <w:r>
            <w:rPr>
              <w:rStyle w:val="25"/>
              <w:rFonts w:ascii="仿宋_GB2312" w:hAnsi="宋体" w:eastAsia="仿宋_GB2312"/>
              <w:sz w:val="24"/>
              <w:szCs w:val="24"/>
            </w:rPr>
            <w:t>4.5  重点或特定事项的尽职调查实践</w:t>
          </w:r>
          <w:r>
            <w:rPr>
              <w:sz w:val="24"/>
              <w:szCs w:val="24"/>
            </w:rPr>
            <w:tab/>
          </w:r>
          <w:r>
            <w:rPr>
              <w:sz w:val="24"/>
              <w:szCs w:val="24"/>
            </w:rPr>
            <w:fldChar w:fldCharType="begin"/>
          </w:r>
          <w:r>
            <w:rPr>
              <w:sz w:val="24"/>
              <w:szCs w:val="24"/>
            </w:rPr>
            <w:instrText xml:space="preserve"> PAGEREF _Toc105940613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"_Toc105940614" </w:instrText>
          </w:r>
          <w:r>
            <w:fldChar w:fldCharType="separate"/>
          </w:r>
          <w:r>
            <w:rPr>
              <w:rStyle w:val="25"/>
              <w:rFonts w:ascii="仿宋_GB2312" w:hAnsi="宋体" w:eastAsia="仿宋_GB2312"/>
              <w:sz w:val="24"/>
              <w:szCs w:val="24"/>
            </w:rPr>
            <w:t>4.5.1  风险因素</w:t>
          </w:r>
          <w:r>
            <w:rPr>
              <w:sz w:val="24"/>
              <w:szCs w:val="24"/>
            </w:rPr>
            <w:tab/>
          </w:r>
          <w:r>
            <w:rPr>
              <w:sz w:val="24"/>
              <w:szCs w:val="24"/>
            </w:rPr>
            <w:fldChar w:fldCharType="begin"/>
          </w:r>
          <w:r>
            <w:rPr>
              <w:sz w:val="24"/>
              <w:szCs w:val="24"/>
            </w:rPr>
            <w:instrText xml:space="preserve"> PAGEREF _Toc105940614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"_Toc105940615" </w:instrText>
          </w:r>
          <w:r>
            <w:fldChar w:fldCharType="separate"/>
          </w:r>
          <w:r>
            <w:rPr>
              <w:rStyle w:val="25"/>
              <w:rFonts w:ascii="仿宋_GB2312" w:hAnsi="宋体" w:eastAsia="仿宋_GB2312"/>
              <w:sz w:val="24"/>
              <w:szCs w:val="24"/>
            </w:rPr>
            <w:t>4.5.2  历史沿革</w:t>
          </w:r>
          <w:r>
            <w:rPr>
              <w:sz w:val="24"/>
              <w:szCs w:val="24"/>
            </w:rPr>
            <w:tab/>
          </w:r>
          <w:r>
            <w:rPr>
              <w:sz w:val="24"/>
              <w:szCs w:val="24"/>
            </w:rPr>
            <w:fldChar w:fldCharType="begin"/>
          </w:r>
          <w:r>
            <w:rPr>
              <w:sz w:val="24"/>
              <w:szCs w:val="24"/>
            </w:rPr>
            <w:instrText xml:space="preserve"> PAGEREF _Toc105940615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"_Toc105940616" </w:instrText>
          </w:r>
          <w:r>
            <w:fldChar w:fldCharType="separate"/>
          </w:r>
          <w:r>
            <w:rPr>
              <w:rStyle w:val="25"/>
              <w:rFonts w:ascii="仿宋_GB2312" w:hAnsi="宋体" w:eastAsia="仿宋_GB2312"/>
              <w:sz w:val="24"/>
              <w:szCs w:val="24"/>
            </w:rPr>
            <w:t>4.5.3  股东情况</w:t>
          </w:r>
          <w:r>
            <w:rPr>
              <w:sz w:val="24"/>
              <w:szCs w:val="24"/>
            </w:rPr>
            <w:tab/>
          </w:r>
          <w:r>
            <w:rPr>
              <w:sz w:val="24"/>
              <w:szCs w:val="24"/>
            </w:rPr>
            <w:fldChar w:fldCharType="begin"/>
          </w:r>
          <w:r>
            <w:rPr>
              <w:sz w:val="24"/>
              <w:szCs w:val="24"/>
            </w:rPr>
            <w:instrText xml:space="preserve"> PAGEREF _Toc105940616 \h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"_Toc105940617" </w:instrText>
          </w:r>
          <w:r>
            <w:fldChar w:fldCharType="separate"/>
          </w:r>
          <w:r>
            <w:rPr>
              <w:rStyle w:val="25"/>
              <w:rFonts w:ascii="仿宋_GB2312" w:hAnsi="宋体" w:eastAsia="仿宋_GB2312"/>
              <w:sz w:val="24"/>
              <w:szCs w:val="24"/>
            </w:rPr>
            <w:t>4.5.4  红筹架构</w:t>
          </w:r>
          <w:r>
            <w:rPr>
              <w:sz w:val="24"/>
              <w:szCs w:val="24"/>
            </w:rPr>
            <w:tab/>
          </w:r>
          <w:r>
            <w:rPr>
              <w:sz w:val="24"/>
              <w:szCs w:val="24"/>
            </w:rPr>
            <w:fldChar w:fldCharType="begin"/>
          </w:r>
          <w:r>
            <w:rPr>
              <w:sz w:val="24"/>
              <w:szCs w:val="24"/>
            </w:rPr>
            <w:instrText xml:space="preserve"> PAGEREF _Toc105940617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"_Toc105940618" </w:instrText>
          </w:r>
          <w:r>
            <w:fldChar w:fldCharType="separate"/>
          </w:r>
          <w:r>
            <w:rPr>
              <w:rStyle w:val="25"/>
              <w:rFonts w:ascii="仿宋_GB2312" w:hAnsi="宋体" w:eastAsia="仿宋_GB2312"/>
              <w:sz w:val="24"/>
              <w:szCs w:val="24"/>
            </w:rPr>
            <w:t>4.5.5  报告期内的重大资产重组</w:t>
          </w:r>
          <w:r>
            <w:rPr>
              <w:sz w:val="24"/>
              <w:szCs w:val="24"/>
            </w:rPr>
            <w:tab/>
          </w:r>
          <w:r>
            <w:rPr>
              <w:sz w:val="24"/>
              <w:szCs w:val="24"/>
            </w:rPr>
            <w:fldChar w:fldCharType="begin"/>
          </w:r>
          <w:r>
            <w:rPr>
              <w:sz w:val="24"/>
              <w:szCs w:val="24"/>
            </w:rPr>
            <w:instrText xml:space="preserve"> PAGEREF _Toc105940618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"_Toc105940619" </w:instrText>
          </w:r>
          <w:r>
            <w:fldChar w:fldCharType="separate"/>
          </w:r>
          <w:r>
            <w:rPr>
              <w:rStyle w:val="25"/>
              <w:rFonts w:ascii="仿宋_GB2312" w:hAnsi="宋体" w:eastAsia="仿宋_GB2312"/>
              <w:sz w:val="24"/>
              <w:szCs w:val="24"/>
            </w:rPr>
            <w:t>4.5.6  实际控制人</w:t>
          </w:r>
          <w:r>
            <w:rPr>
              <w:sz w:val="24"/>
              <w:szCs w:val="24"/>
            </w:rPr>
            <w:tab/>
          </w:r>
          <w:r>
            <w:rPr>
              <w:sz w:val="24"/>
              <w:szCs w:val="24"/>
            </w:rPr>
            <w:fldChar w:fldCharType="begin"/>
          </w:r>
          <w:r>
            <w:rPr>
              <w:sz w:val="24"/>
              <w:szCs w:val="24"/>
            </w:rPr>
            <w:instrText xml:space="preserve"> PAGEREF _Toc105940619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"_Toc105940620" </w:instrText>
          </w:r>
          <w:r>
            <w:fldChar w:fldCharType="separate"/>
          </w:r>
          <w:r>
            <w:rPr>
              <w:rStyle w:val="25"/>
              <w:rFonts w:ascii="仿宋_GB2312" w:hAnsi="宋体" w:eastAsia="仿宋_GB2312"/>
              <w:sz w:val="24"/>
              <w:szCs w:val="24"/>
            </w:rPr>
            <w:t>4.5.7  控股子公司和重要参股公司</w:t>
          </w:r>
          <w:r>
            <w:rPr>
              <w:sz w:val="24"/>
              <w:szCs w:val="24"/>
            </w:rPr>
            <w:tab/>
          </w:r>
          <w:r>
            <w:rPr>
              <w:sz w:val="24"/>
              <w:szCs w:val="24"/>
            </w:rPr>
            <w:fldChar w:fldCharType="begin"/>
          </w:r>
          <w:r>
            <w:rPr>
              <w:sz w:val="24"/>
              <w:szCs w:val="24"/>
            </w:rPr>
            <w:instrText xml:space="preserve"> PAGEREF _Toc105940620 \h </w:instrText>
          </w:r>
          <w:r>
            <w:rPr>
              <w:sz w:val="24"/>
              <w:szCs w:val="24"/>
            </w:rPr>
            <w:fldChar w:fldCharType="separate"/>
          </w:r>
          <w:r>
            <w:rPr>
              <w:sz w:val="24"/>
              <w:szCs w:val="24"/>
            </w:rPr>
            <w:t>48</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"_Toc105940621" </w:instrText>
          </w:r>
          <w:r>
            <w:fldChar w:fldCharType="separate"/>
          </w:r>
          <w:r>
            <w:rPr>
              <w:rStyle w:val="25"/>
              <w:rFonts w:ascii="仿宋_GB2312" w:hAnsi="宋体" w:eastAsia="仿宋_GB2312"/>
              <w:sz w:val="24"/>
              <w:szCs w:val="24"/>
            </w:rPr>
            <w:t>4.5.8  董监高任职资格、胜任能力等相关情况</w:t>
          </w:r>
          <w:r>
            <w:rPr>
              <w:sz w:val="24"/>
              <w:szCs w:val="24"/>
            </w:rPr>
            <w:tab/>
          </w:r>
          <w:r>
            <w:rPr>
              <w:sz w:val="24"/>
              <w:szCs w:val="24"/>
            </w:rPr>
            <w:fldChar w:fldCharType="begin"/>
          </w:r>
          <w:r>
            <w:rPr>
              <w:sz w:val="24"/>
              <w:szCs w:val="24"/>
            </w:rPr>
            <w:instrText xml:space="preserve"> PAGEREF _Toc105940621 \h </w:instrText>
          </w:r>
          <w:r>
            <w:rPr>
              <w:sz w:val="24"/>
              <w:szCs w:val="24"/>
            </w:rPr>
            <w:fldChar w:fldCharType="separate"/>
          </w:r>
          <w:r>
            <w:rPr>
              <w:sz w:val="24"/>
              <w:szCs w:val="24"/>
            </w:rPr>
            <w:t>50</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"_Toc105940622" </w:instrText>
          </w:r>
          <w:r>
            <w:fldChar w:fldCharType="separate"/>
          </w:r>
          <w:r>
            <w:rPr>
              <w:rStyle w:val="25"/>
              <w:rFonts w:ascii="仿宋_GB2312" w:hAnsi="宋体" w:eastAsia="仿宋_GB2312"/>
              <w:sz w:val="24"/>
              <w:szCs w:val="24"/>
            </w:rPr>
            <w:t>4.5.9  员工持股计划和股权激励计划</w:t>
          </w:r>
          <w:r>
            <w:rPr>
              <w:sz w:val="24"/>
              <w:szCs w:val="24"/>
            </w:rPr>
            <w:tab/>
          </w:r>
          <w:r>
            <w:rPr>
              <w:sz w:val="24"/>
              <w:szCs w:val="24"/>
            </w:rPr>
            <w:fldChar w:fldCharType="begin"/>
          </w:r>
          <w:r>
            <w:rPr>
              <w:sz w:val="24"/>
              <w:szCs w:val="24"/>
            </w:rPr>
            <w:instrText xml:space="preserve"> PAGEREF _Toc105940622 \h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"_Toc105940623" </w:instrText>
          </w:r>
          <w:r>
            <w:fldChar w:fldCharType="separate"/>
          </w:r>
          <w:r>
            <w:rPr>
              <w:rStyle w:val="25"/>
              <w:rFonts w:ascii="仿宋_GB2312" w:hAnsi="宋体" w:eastAsia="仿宋_GB2312"/>
              <w:sz w:val="24"/>
              <w:szCs w:val="24"/>
            </w:rPr>
            <w:t>4.5.10  发行人所处行业</w:t>
          </w:r>
          <w:r>
            <w:rPr>
              <w:sz w:val="24"/>
              <w:szCs w:val="24"/>
            </w:rPr>
            <w:tab/>
          </w:r>
          <w:r>
            <w:rPr>
              <w:sz w:val="24"/>
              <w:szCs w:val="24"/>
            </w:rPr>
            <w:fldChar w:fldCharType="begin"/>
          </w:r>
          <w:r>
            <w:rPr>
              <w:sz w:val="24"/>
              <w:szCs w:val="24"/>
            </w:rPr>
            <w:instrText xml:space="preserve"> PAGEREF _Toc105940623 \h </w:instrText>
          </w:r>
          <w:r>
            <w:rPr>
              <w:sz w:val="24"/>
              <w:szCs w:val="24"/>
            </w:rPr>
            <w:fldChar w:fldCharType="separate"/>
          </w:r>
          <w:r>
            <w:rPr>
              <w:sz w:val="24"/>
              <w:szCs w:val="24"/>
            </w:rPr>
            <w:t>55</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"_Toc105940624" </w:instrText>
          </w:r>
          <w:r>
            <w:fldChar w:fldCharType="separate"/>
          </w:r>
          <w:r>
            <w:rPr>
              <w:rStyle w:val="25"/>
              <w:rFonts w:ascii="仿宋_GB2312" w:hAnsi="宋体" w:eastAsia="仿宋_GB2312"/>
              <w:sz w:val="24"/>
              <w:szCs w:val="24"/>
            </w:rPr>
            <w:t>4.5.11  销售情况</w:t>
          </w:r>
          <w:r>
            <w:rPr>
              <w:sz w:val="24"/>
              <w:szCs w:val="24"/>
            </w:rPr>
            <w:tab/>
          </w:r>
          <w:r>
            <w:rPr>
              <w:sz w:val="24"/>
              <w:szCs w:val="24"/>
            </w:rPr>
            <w:fldChar w:fldCharType="begin"/>
          </w:r>
          <w:r>
            <w:rPr>
              <w:sz w:val="24"/>
              <w:szCs w:val="24"/>
            </w:rPr>
            <w:instrText xml:space="preserve"> PAGEREF _Toc105940624 \h </w:instrText>
          </w:r>
          <w:r>
            <w:rPr>
              <w:sz w:val="24"/>
              <w:szCs w:val="24"/>
            </w:rPr>
            <w:fldChar w:fldCharType="separate"/>
          </w:r>
          <w:r>
            <w:rPr>
              <w:sz w:val="24"/>
              <w:szCs w:val="24"/>
            </w:rPr>
            <w:t>57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"_Toc105940625" </w:instrText>
          </w:r>
          <w:r>
            <w:fldChar w:fldCharType="separate"/>
          </w:r>
          <w:r>
            <w:rPr>
              <w:rStyle w:val="25"/>
              <w:rFonts w:ascii="仿宋_GB2312" w:hAnsi="宋体" w:eastAsia="仿宋_GB2312"/>
              <w:sz w:val="24"/>
              <w:szCs w:val="24"/>
            </w:rPr>
            <w:t>4.5.12  采购情况</w:t>
          </w:r>
          <w:r>
            <w:rPr>
              <w:sz w:val="24"/>
              <w:szCs w:val="24"/>
            </w:rPr>
            <w:tab/>
          </w:r>
          <w:r>
            <w:rPr>
              <w:sz w:val="24"/>
              <w:szCs w:val="24"/>
            </w:rPr>
            <w:fldChar w:fldCharType="begin"/>
          </w:r>
          <w:r>
            <w:rPr>
              <w:sz w:val="24"/>
              <w:szCs w:val="24"/>
            </w:rPr>
            <w:instrText xml:space="preserve"> PAGEREF _Toc105940625 \h </w:instrText>
          </w:r>
          <w:r>
            <w:rPr>
              <w:sz w:val="24"/>
              <w:szCs w:val="24"/>
            </w:rPr>
            <w:fldChar w:fldCharType="separate"/>
          </w:r>
          <w:r>
            <w:rPr>
              <w:sz w:val="24"/>
              <w:szCs w:val="24"/>
            </w:rPr>
            <w:t>64</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"_Toc105940626" </w:instrText>
          </w:r>
          <w:r>
            <w:fldChar w:fldCharType="separate"/>
          </w:r>
          <w:r>
            <w:rPr>
              <w:rStyle w:val="25"/>
              <w:rFonts w:ascii="仿宋_GB2312" w:hAnsi="宋体" w:eastAsia="仿宋_GB2312"/>
              <w:sz w:val="24"/>
              <w:szCs w:val="24"/>
            </w:rPr>
            <w:t>4.5.13  生产情况</w:t>
          </w:r>
          <w:r>
            <w:rPr>
              <w:sz w:val="24"/>
              <w:szCs w:val="24"/>
            </w:rPr>
            <w:tab/>
          </w:r>
          <w:r>
            <w:rPr>
              <w:sz w:val="24"/>
              <w:szCs w:val="24"/>
            </w:rPr>
            <w:fldChar w:fldCharType="begin"/>
          </w:r>
          <w:r>
            <w:rPr>
              <w:sz w:val="24"/>
              <w:szCs w:val="24"/>
            </w:rPr>
            <w:instrText xml:space="preserve"> PAGEREF _Toc105940626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"_Toc105940627" </w:instrText>
          </w:r>
          <w:r>
            <w:fldChar w:fldCharType="separate"/>
          </w:r>
          <w:r>
            <w:rPr>
              <w:rStyle w:val="25"/>
              <w:rFonts w:ascii="仿宋_GB2312" w:hAnsi="宋体" w:eastAsia="仿宋_GB2312"/>
              <w:sz w:val="24"/>
              <w:szCs w:val="24"/>
            </w:rPr>
            <w:t>4.5.14  核心技术人员、技术与研发情况</w:t>
          </w:r>
          <w:r>
            <w:rPr>
              <w:sz w:val="24"/>
              <w:szCs w:val="24"/>
            </w:rPr>
            <w:tab/>
          </w:r>
          <w:r>
            <w:rPr>
              <w:sz w:val="24"/>
              <w:szCs w:val="24"/>
            </w:rPr>
            <w:fldChar w:fldCharType="begin"/>
          </w:r>
          <w:r>
            <w:rPr>
              <w:sz w:val="24"/>
              <w:szCs w:val="24"/>
            </w:rPr>
            <w:instrText xml:space="preserve"> PAGEREF _Toc105940627 \h </w:instrText>
          </w:r>
          <w:r>
            <w:rPr>
              <w:sz w:val="24"/>
              <w:szCs w:val="24"/>
            </w:rPr>
            <w:fldChar w:fldCharType="separate"/>
          </w:r>
          <w:r>
            <w:rPr>
              <w:sz w:val="24"/>
              <w:szCs w:val="24"/>
            </w:rPr>
            <w:t>73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"_Toc105940628" </w:instrText>
          </w:r>
          <w:r>
            <w:fldChar w:fldCharType="separate"/>
          </w:r>
          <w:r>
            <w:rPr>
              <w:rStyle w:val="25"/>
              <w:rFonts w:ascii="仿宋_GB2312" w:hAnsi="宋体" w:eastAsia="仿宋_GB2312"/>
              <w:sz w:val="24"/>
              <w:szCs w:val="24"/>
            </w:rPr>
            <w:t>4.5.15  财务报告及相关财务资料</w:t>
          </w:r>
          <w:r>
            <w:rPr>
              <w:sz w:val="24"/>
              <w:szCs w:val="24"/>
            </w:rPr>
            <w:tab/>
          </w:r>
          <w:r>
            <w:rPr>
              <w:sz w:val="24"/>
              <w:szCs w:val="24"/>
            </w:rPr>
            <w:fldChar w:fldCharType="begin"/>
          </w:r>
          <w:r>
            <w:rPr>
              <w:sz w:val="24"/>
              <w:szCs w:val="24"/>
            </w:rPr>
            <w:instrText xml:space="preserve"> PAGEREF _Toc105940628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"_Toc105940629" </w:instrText>
          </w:r>
          <w:r>
            <w:fldChar w:fldCharType="separate"/>
          </w:r>
          <w:r>
            <w:rPr>
              <w:rStyle w:val="25"/>
              <w:rFonts w:ascii="仿宋_GB2312" w:hAnsi="宋体" w:eastAsia="仿宋_GB2312"/>
              <w:sz w:val="24"/>
              <w:szCs w:val="24"/>
            </w:rPr>
            <w:t>4.5.16  销售收入</w:t>
          </w:r>
          <w:r>
            <w:rPr>
              <w:sz w:val="24"/>
              <w:szCs w:val="24"/>
            </w:rPr>
            <w:tab/>
          </w:r>
          <w:r>
            <w:rPr>
              <w:sz w:val="24"/>
              <w:szCs w:val="24"/>
            </w:rPr>
            <w:fldChar w:fldCharType="begin"/>
          </w:r>
          <w:r>
            <w:rPr>
              <w:sz w:val="24"/>
              <w:szCs w:val="24"/>
            </w:rPr>
            <w:instrText xml:space="preserve"> PAGEREF _Toc105940629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"_Toc105940630" </w:instrText>
          </w:r>
          <w:r>
            <w:fldChar w:fldCharType="separate"/>
          </w:r>
          <w:r>
            <w:rPr>
              <w:rStyle w:val="25"/>
              <w:rFonts w:ascii="仿宋_GB2312" w:hAnsi="宋体" w:eastAsia="仿宋_GB2312"/>
              <w:sz w:val="24"/>
              <w:szCs w:val="24"/>
            </w:rPr>
            <w:t>4.5.17  销售成本与销售毛利</w:t>
          </w:r>
          <w:r>
            <w:rPr>
              <w:sz w:val="24"/>
              <w:szCs w:val="24"/>
            </w:rPr>
            <w:tab/>
          </w:r>
          <w:r>
            <w:rPr>
              <w:sz w:val="24"/>
              <w:szCs w:val="24"/>
            </w:rPr>
            <w:fldChar w:fldCharType="begin"/>
          </w:r>
          <w:r>
            <w:rPr>
              <w:sz w:val="24"/>
              <w:szCs w:val="24"/>
            </w:rPr>
            <w:instrText xml:space="preserve"> PAGEREF _Toc105940630 \h </w:instrText>
          </w:r>
          <w:r>
            <w:rPr>
              <w:sz w:val="24"/>
              <w:szCs w:val="24"/>
            </w:rPr>
            <w:fldChar w:fldCharType="separate"/>
          </w:r>
          <w:r>
            <w:rPr>
              <w:sz w:val="24"/>
              <w:szCs w:val="24"/>
            </w:rPr>
            <w:t>93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"_Toc105940631" </w:instrText>
          </w:r>
          <w:r>
            <w:fldChar w:fldCharType="separate"/>
          </w:r>
          <w:r>
            <w:rPr>
              <w:rStyle w:val="25"/>
              <w:rFonts w:ascii="仿宋_GB2312" w:hAnsi="宋体" w:eastAsia="仿宋_GB2312"/>
              <w:sz w:val="24"/>
              <w:szCs w:val="24"/>
            </w:rPr>
            <w:t>4.5.18  货币资金</w:t>
          </w:r>
          <w:r>
            <w:rPr>
              <w:sz w:val="24"/>
              <w:szCs w:val="24"/>
            </w:rPr>
            <w:tab/>
          </w:r>
          <w:r>
            <w:rPr>
              <w:sz w:val="24"/>
              <w:szCs w:val="24"/>
            </w:rPr>
            <w:fldChar w:fldCharType="begin"/>
          </w:r>
          <w:r>
            <w:rPr>
              <w:sz w:val="24"/>
              <w:szCs w:val="24"/>
            </w:rPr>
            <w:instrText xml:space="preserve"> PAGEREF _Toc105940631 \h </w:instrText>
          </w:r>
          <w:r>
            <w:rPr>
              <w:sz w:val="24"/>
              <w:szCs w:val="24"/>
            </w:rPr>
            <w:fldChar w:fldCharType="separate"/>
          </w:r>
          <w:r>
            <w:rPr>
              <w:sz w:val="24"/>
              <w:szCs w:val="24"/>
            </w:rPr>
            <w:t>97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"_Toc105940632" </w:instrText>
          </w:r>
          <w:r>
            <w:fldChar w:fldCharType="separate"/>
          </w:r>
          <w:r>
            <w:rPr>
              <w:rStyle w:val="25"/>
              <w:rFonts w:ascii="仿宋_GB2312" w:hAnsi="宋体" w:eastAsia="仿宋_GB2312"/>
              <w:sz w:val="24"/>
              <w:szCs w:val="24"/>
            </w:rPr>
            <w:t>4.5.19  存货</w:t>
          </w:r>
          <w:r>
            <w:rPr>
              <w:sz w:val="24"/>
              <w:szCs w:val="24"/>
            </w:rPr>
            <w:tab/>
          </w:r>
          <w:r>
            <w:rPr>
              <w:sz w:val="24"/>
              <w:szCs w:val="24"/>
            </w:rPr>
            <w:fldChar w:fldCharType="begin"/>
          </w:r>
          <w:r>
            <w:rPr>
              <w:sz w:val="24"/>
              <w:szCs w:val="24"/>
            </w:rPr>
            <w:instrText xml:space="preserve"> PAGEREF _Toc105940632 \h </w:instrText>
          </w:r>
          <w:r>
            <w:rPr>
              <w:sz w:val="24"/>
              <w:szCs w:val="24"/>
            </w:rPr>
            <w:fldChar w:fldCharType="separate"/>
          </w:r>
          <w:r>
            <w:rPr>
              <w:sz w:val="24"/>
              <w:szCs w:val="24"/>
            </w:rPr>
            <w:t>104</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"_Toc105940633" </w:instrText>
          </w:r>
          <w:r>
            <w:fldChar w:fldCharType="separate"/>
          </w:r>
          <w:r>
            <w:rPr>
              <w:rStyle w:val="25"/>
              <w:rFonts w:ascii="仿宋_GB2312" w:hAnsi="宋体" w:eastAsia="仿宋_GB2312"/>
              <w:sz w:val="24"/>
              <w:szCs w:val="24"/>
            </w:rPr>
            <w:t>4.5.20  期间费用</w:t>
          </w:r>
          <w:r>
            <w:rPr>
              <w:sz w:val="24"/>
              <w:szCs w:val="24"/>
            </w:rPr>
            <w:tab/>
          </w:r>
          <w:r>
            <w:rPr>
              <w:sz w:val="24"/>
              <w:szCs w:val="24"/>
            </w:rPr>
            <w:fldChar w:fldCharType="begin"/>
          </w:r>
          <w:r>
            <w:rPr>
              <w:sz w:val="24"/>
              <w:szCs w:val="24"/>
            </w:rPr>
            <w:instrText xml:space="preserve"> PAGEREF _Toc105940633 \h </w:instrText>
          </w:r>
          <w:r>
            <w:rPr>
              <w:sz w:val="24"/>
              <w:szCs w:val="24"/>
            </w:rPr>
            <w:fldChar w:fldCharType="separate"/>
          </w:r>
          <w:r>
            <w:rPr>
              <w:sz w:val="24"/>
              <w:szCs w:val="24"/>
            </w:rPr>
            <w:t>111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"_Toc105940634" </w:instrText>
          </w:r>
          <w:r>
            <w:fldChar w:fldCharType="separate"/>
          </w:r>
          <w:r>
            <w:rPr>
              <w:rStyle w:val="25"/>
              <w:rFonts w:ascii="仿宋_GB2312" w:hAnsi="宋体" w:eastAsia="仿宋_GB2312"/>
              <w:sz w:val="24"/>
              <w:szCs w:val="24"/>
            </w:rPr>
            <w:t>4.5.21  财务报表截止日之后事项的核查</w:t>
          </w:r>
          <w:r>
            <w:rPr>
              <w:sz w:val="24"/>
              <w:szCs w:val="24"/>
            </w:rPr>
            <w:tab/>
          </w:r>
          <w:r>
            <w:rPr>
              <w:sz w:val="24"/>
              <w:szCs w:val="24"/>
            </w:rPr>
            <w:fldChar w:fldCharType="begin"/>
          </w:r>
          <w:r>
            <w:rPr>
              <w:sz w:val="24"/>
              <w:szCs w:val="24"/>
            </w:rPr>
            <w:instrText xml:space="preserve"> PAGEREF _Toc105940634 \h </w:instrText>
          </w:r>
          <w:r>
            <w:rPr>
              <w:sz w:val="24"/>
              <w:szCs w:val="24"/>
            </w:rPr>
            <w:fldChar w:fldCharType="separate"/>
          </w:r>
          <w:r>
            <w:rPr>
              <w:sz w:val="24"/>
              <w:szCs w:val="24"/>
            </w:rPr>
            <w:t>116</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"_Toc105940635" </w:instrText>
          </w:r>
          <w:r>
            <w:fldChar w:fldCharType="separate"/>
          </w:r>
          <w:r>
            <w:rPr>
              <w:rStyle w:val="25"/>
              <w:rFonts w:ascii="仿宋_GB2312" w:hAnsi="宋体" w:eastAsia="仿宋_GB2312"/>
              <w:sz w:val="24"/>
              <w:szCs w:val="24"/>
            </w:rPr>
            <w:t>4.5.22  合规经营情况</w:t>
          </w:r>
          <w:r>
            <w:rPr>
              <w:sz w:val="24"/>
              <w:szCs w:val="24"/>
            </w:rPr>
            <w:tab/>
          </w:r>
          <w:r>
            <w:rPr>
              <w:sz w:val="24"/>
              <w:szCs w:val="24"/>
            </w:rPr>
            <w:fldChar w:fldCharType="begin"/>
          </w:r>
          <w:r>
            <w:rPr>
              <w:sz w:val="24"/>
              <w:szCs w:val="24"/>
            </w:rPr>
            <w:instrText xml:space="preserve"> PAGEREF _Toc105940635 \h </w:instrText>
          </w:r>
          <w:r>
            <w:rPr>
              <w:sz w:val="24"/>
              <w:szCs w:val="24"/>
            </w:rPr>
            <w:fldChar w:fldCharType="separate"/>
          </w:r>
          <w:r>
            <w:rPr>
              <w:sz w:val="24"/>
              <w:szCs w:val="24"/>
            </w:rPr>
            <w:t>117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"_Toc105940636" </w:instrText>
          </w:r>
          <w:r>
            <w:fldChar w:fldCharType="separate"/>
          </w:r>
          <w:r>
            <w:rPr>
              <w:rStyle w:val="25"/>
              <w:rFonts w:ascii="仿宋_GB2312" w:hAnsi="宋体" w:eastAsia="仿宋_GB2312"/>
              <w:sz w:val="24"/>
              <w:szCs w:val="24"/>
            </w:rPr>
            <w:t>4.5.23  内部控制</w:t>
          </w:r>
          <w:r>
            <w:rPr>
              <w:sz w:val="24"/>
              <w:szCs w:val="24"/>
            </w:rPr>
            <w:tab/>
          </w:r>
          <w:r>
            <w:rPr>
              <w:sz w:val="24"/>
              <w:szCs w:val="24"/>
            </w:rPr>
            <w:fldChar w:fldCharType="begin"/>
          </w:r>
          <w:r>
            <w:rPr>
              <w:sz w:val="24"/>
              <w:szCs w:val="24"/>
            </w:rPr>
            <w:instrText xml:space="preserve"> PAGEREF _Toc105940636 \h </w:instrText>
          </w:r>
          <w:r>
            <w:rPr>
              <w:sz w:val="24"/>
              <w:szCs w:val="24"/>
            </w:rPr>
            <w:fldChar w:fldCharType="separate"/>
          </w:r>
          <w:r>
            <w:rPr>
              <w:sz w:val="24"/>
              <w:szCs w:val="24"/>
            </w:rPr>
            <w:t>119</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"_Toc105940637" </w:instrText>
          </w:r>
          <w:r>
            <w:fldChar w:fldCharType="separate"/>
          </w:r>
          <w:r>
            <w:rPr>
              <w:rStyle w:val="25"/>
              <w:rFonts w:ascii="仿宋_GB2312" w:hAnsi="宋体" w:eastAsia="仿宋_GB2312"/>
              <w:sz w:val="24"/>
              <w:szCs w:val="24"/>
            </w:rPr>
            <w:t>4.5.24  独立情况</w:t>
          </w:r>
          <w:r>
            <w:rPr>
              <w:sz w:val="24"/>
              <w:szCs w:val="24"/>
            </w:rPr>
            <w:tab/>
          </w:r>
          <w:r>
            <w:rPr>
              <w:sz w:val="24"/>
              <w:szCs w:val="24"/>
            </w:rPr>
            <w:fldChar w:fldCharType="begin"/>
          </w:r>
          <w:r>
            <w:rPr>
              <w:sz w:val="24"/>
              <w:szCs w:val="24"/>
            </w:rPr>
            <w:instrText xml:space="preserve"> PAGEREF _Toc105940637 \h </w:instrText>
          </w:r>
          <w:r>
            <w:rPr>
              <w:sz w:val="24"/>
              <w:szCs w:val="24"/>
            </w:rPr>
            <w:fldChar w:fldCharType="separate"/>
          </w:r>
          <w:r>
            <w:rPr>
              <w:sz w:val="24"/>
              <w:szCs w:val="24"/>
            </w:rPr>
            <w:t>123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"_Toc105940638" </w:instrText>
          </w:r>
          <w:r>
            <w:fldChar w:fldCharType="separate"/>
          </w:r>
          <w:r>
            <w:rPr>
              <w:rStyle w:val="25"/>
              <w:rFonts w:ascii="仿宋_GB2312" w:hAnsi="宋体" w:eastAsia="仿宋_GB2312"/>
              <w:sz w:val="24"/>
              <w:szCs w:val="24"/>
            </w:rPr>
            <w:t>4.5.25  同业竞争情况</w:t>
          </w:r>
          <w:r>
            <w:rPr>
              <w:sz w:val="24"/>
              <w:szCs w:val="24"/>
            </w:rPr>
            <w:tab/>
          </w:r>
          <w:r>
            <w:rPr>
              <w:sz w:val="24"/>
              <w:szCs w:val="24"/>
            </w:rPr>
            <w:fldChar w:fldCharType="begin"/>
          </w:r>
          <w:r>
            <w:rPr>
              <w:sz w:val="24"/>
              <w:szCs w:val="24"/>
            </w:rPr>
            <w:instrText xml:space="preserve"> PAGEREF _Toc105940638 \h </w:instrText>
          </w:r>
          <w:r>
            <w:rPr>
              <w:sz w:val="24"/>
              <w:szCs w:val="24"/>
            </w:rPr>
            <w:fldChar w:fldCharType="separate"/>
          </w:r>
          <w:r>
            <w:rPr>
              <w:sz w:val="24"/>
              <w:szCs w:val="24"/>
            </w:rPr>
            <w:t>127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"_Toc105940639" </w:instrText>
          </w:r>
          <w:r>
            <w:fldChar w:fldCharType="separate"/>
          </w:r>
          <w:r>
            <w:rPr>
              <w:rStyle w:val="25"/>
              <w:rFonts w:ascii="仿宋_GB2312" w:hAnsi="宋体" w:eastAsia="仿宋_GB2312"/>
              <w:sz w:val="24"/>
              <w:szCs w:val="24"/>
            </w:rPr>
            <w:t>4.5.26  关联方及关联交易情况</w:t>
          </w:r>
          <w:r>
            <w:rPr>
              <w:sz w:val="24"/>
              <w:szCs w:val="24"/>
            </w:rPr>
            <w:tab/>
          </w:r>
          <w:r>
            <w:rPr>
              <w:sz w:val="24"/>
              <w:szCs w:val="24"/>
            </w:rPr>
            <w:fldChar w:fldCharType="begin"/>
          </w:r>
          <w:r>
            <w:rPr>
              <w:sz w:val="24"/>
              <w:szCs w:val="24"/>
            </w:rPr>
            <w:instrText xml:space="preserve"> PAGEREF _Toc105940639 \h </w:instrText>
          </w:r>
          <w:r>
            <w:rPr>
              <w:sz w:val="24"/>
              <w:szCs w:val="24"/>
            </w:rPr>
            <w:fldChar w:fldCharType="separate"/>
          </w:r>
          <w:r>
            <w:rPr>
              <w:sz w:val="24"/>
              <w:szCs w:val="24"/>
            </w:rPr>
            <w:t>129</w:t>
          </w:r>
          <w:r>
            <w:rPr>
              <w:sz w:val="24"/>
              <w:szCs w:val="24"/>
            </w:rPr>
            <w:fldChar w:fldCharType="end"/>
          </w:r>
          <w:r>
            <w:rPr>
              <w:sz w:val="24"/>
              <w:szCs w:val="24"/>
            </w:rPr>
            <w:fldChar w:fldCharType="end"/>
          </w:r>
        </w:p>
        <w:p>
          <w:pPr>
            <w:pStyle w:val="15"/>
            <w:tabs>
              <w:tab w:val="right" w:leader="dot" w:pos="8302"/>
            </w:tabs>
            <w:rPr>
              <w:rFonts w:asciiTheme="minorHAnsi" w:hAnsiTheme="minorHAnsi" w:eastAsiaTheme="minorEastAsia" w:cstheme="minorBidi"/>
              <w:sz w:val="24"/>
              <w:szCs w:val="24"/>
            </w:rPr>
          </w:pPr>
          <w:r>
            <w:fldChar w:fldCharType="begin"/>
          </w:r>
          <w:r>
            <w:instrText xml:space="preserve"> HYPERLINK \l "_Toc105940640" </w:instrText>
          </w:r>
          <w:r>
            <w:fldChar w:fldCharType="separate"/>
          </w:r>
          <w:r>
            <w:rPr>
              <w:rStyle w:val="25"/>
              <w:rFonts w:ascii="仿宋_GB2312" w:hAnsi="宋体" w:eastAsia="仿宋_GB2312"/>
              <w:sz w:val="24"/>
              <w:szCs w:val="24"/>
            </w:rPr>
            <w:t>第五章 持续督导阶段的尽职调查</w:t>
          </w:r>
          <w:r>
            <w:rPr>
              <w:sz w:val="24"/>
              <w:szCs w:val="24"/>
            </w:rPr>
            <w:tab/>
          </w:r>
          <w:r>
            <w:rPr>
              <w:sz w:val="24"/>
              <w:szCs w:val="24"/>
            </w:rPr>
            <w:fldChar w:fldCharType="begin"/>
          </w:r>
          <w:r>
            <w:rPr>
              <w:sz w:val="24"/>
              <w:szCs w:val="24"/>
            </w:rPr>
            <w:instrText xml:space="preserve"> PAGEREF _Toc105940640 \h </w:instrText>
          </w:r>
          <w:r>
            <w:rPr>
              <w:sz w:val="24"/>
              <w:szCs w:val="24"/>
            </w:rPr>
            <w:fldChar w:fldCharType="separate"/>
          </w:r>
          <w:r>
            <w:rPr>
              <w:sz w:val="24"/>
              <w:szCs w:val="24"/>
            </w:rPr>
            <w:t>132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"_Toc105940641" </w:instrText>
          </w:r>
          <w:r>
            <w:fldChar w:fldCharType="separate"/>
          </w:r>
          <w:r>
            <w:rPr>
              <w:rStyle w:val="25"/>
              <w:rFonts w:ascii="仿宋_GB2312" w:hAnsi="宋体" w:eastAsia="仿宋_GB2312"/>
              <w:sz w:val="24"/>
              <w:szCs w:val="24"/>
            </w:rPr>
            <w:t>5.1  持续督导的基本原则</w:t>
          </w:r>
          <w:r>
            <w:rPr>
              <w:sz w:val="24"/>
              <w:szCs w:val="24"/>
            </w:rPr>
            <w:tab/>
          </w:r>
          <w:r>
            <w:rPr>
              <w:sz w:val="24"/>
              <w:szCs w:val="24"/>
            </w:rPr>
            <w:fldChar w:fldCharType="begin"/>
          </w:r>
          <w:r>
            <w:rPr>
              <w:sz w:val="24"/>
              <w:szCs w:val="24"/>
            </w:rPr>
            <w:instrText xml:space="preserve"> PAGEREF _Toc105940641 \h </w:instrText>
          </w:r>
          <w:r>
            <w:rPr>
              <w:sz w:val="24"/>
              <w:szCs w:val="24"/>
            </w:rPr>
            <w:fldChar w:fldCharType="separate"/>
          </w:r>
          <w:r>
            <w:rPr>
              <w:sz w:val="24"/>
              <w:szCs w:val="24"/>
            </w:rPr>
            <w:t>132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"_Toc105940642" </w:instrText>
          </w:r>
          <w:r>
            <w:fldChar w:fldCharType="separate"/>
          </w:r>
          <w:r>
            <w:rPr>
              <w:rStyle w:val="25"/>
              <w:rFonts w:ascii="仿宋_GB2312" w:hAnsi="宋体" w:eastAsia="仿宋_GB2312"/>
              <w:sz w:val="24"/>
              <w:szCs w:val="24"/>
            </w:rPr>
            <w:t>5.2  持续督导期间</w:t>
          </w:r>
          <w:r>
            <w:rPr>
              <w:sz w:val="24"/>
              <w:szCs w:val="24"/>
            </w:rPr>
            <w:tab/>
          </w:r>
          <w:r>
            <w:rPr>
              <w:sz w:val="24"/>
              <w:szCs w:val="24"/>
            </w:rPr>
            <w:fldChar w:fldCharType="begin"/>
          </w:r>
          <w:r>
            <w:rPr>
              <w:sz w:val="24"/>
              <w:szCs w:val="24"/>
            </w:rPr>
            <w:instrText xml:space="preserve"> PAGEREF _Toc105940642 \h </w:instrText>
          </w:r>
          <w:r>
            <w:rPr>
              <w:sz w:val="24"/>
              <w:szCs w:val="24"/>
            </w:rPr>
            <w:fldChar w:fldCharType="separate"/>
          </w:r>
          <w:r>
            <w:rPr>
              <w:sz w:val="24"/>
              <w:szCs w:val="24"/>
            </w:rPr>
            <w:t>132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"_Toc105940643" </w:instrText>
          </w:r>
          <w:r>
            <w:fldChar w:fldCharType="separate"/>
          </w:r>
          <w:r>
            <w:rPr>
              <w:rStyle w:val="25"/>
              <w:rFonts w:ascii="仿宋_GB2312" w:hAnsi="宋体" w:eastAsia="仿宋_GB2312"/>
              <w:sz w:val="24"/>
              <w:szCs w:val="24"/>
            </w:rPr>
            <w:t>5.3  保荐人履行持续督导的具体职责</w:t>
          </w:r>
          <w:r>
            <w:rPr>
              <w:sz w:val="24"/>
              <w:szCs w:val="24"/>
            </w:rPr>
            <w:tab/>
          </w:r>
          <w:r>
            <w:rPr>
              <w:sz w:val="24"/>
              <w:szCs w:val="24"/>
            </w:rPr>
            <w:fldChar w:fldCharType="begin"/>
          </w:r>
          <w:r>
            <w:rPr>
              <w:sz w:val="24"/>
              <w:szCs w:val="24"/>
            </w:rPr>
            <w:instrText xml:space="preserve"> PAGEREF _Toc105940643 \h </w:instrText>
          </w:r>
          <w:r>
            <w:rPr>
              <w:sz w:val="24"/>
              <w:szCs w:val="24"/>
            </w:rPr>
            <w:fldChar w:fldCharType="separate"/>
          </w:r>
          <w:r>
            <w:rPr>
              <w:sz w:val="24"/>
              <w:szCs w:val="24"/>
            </w:rPr>
            <w:t>133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"_Toc105940648" </w:instrText>
          </w:r>
          <w:r>
            <w:fldChar w:fldCharType="separate"/>
          </w:r>
          <w:r>
            <w:rPr>
              <w:rStyle w:val="25"/>
              <w:rFonts w:ascii="仿宋_GB2312" w:hAnsi="宋体" w:eastAsia="仿宋_GB2312"/>
              <w:sz w:val="24"/>
              <w:szCs w:val="24"/>
            </w:rPr>
            <w:t>5.4  持续督导重要事项的尽职调查要点</w:t>
          </w:r>
          <w:r>
            <w:rPr>
              <w:sz w:val="24"/>
              <w:szCs w:val="24"/>
            </w:rPr>
            <w:tab/>
          </w:r>
          <w:r>
            <w:rPr>
              <w:sz w:val="24"/>
              <w:szCs w:val="24"/>
            </w:rPr>
            <w:fldChar w:fldCharType="begin"/>
          </w:r>
          <w:r>
            <w:rPr>
              <w:sz w:val="24"/>
              <w:szCs w:val="24"/>
            </w:rPr>
            <w:instrText xml:space="preserve"> PAGEREF _Toc105940648 \h </w:instrText>
          </w:r>
          <w:r>
            <w:rPr>
              <w:sz w:val="24"/>
              <w:szCs w:val="24"/>
            </w:rPr>
            <w:fldChar w:fldCharType="separate"/>
          </w:r>
          <w:r>
            <w:rPr>
              <w:sz w:val="24"/>
              <w:szCs w:val="24"/>
            </w:rPr>
            <w:t>145</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"_Toc105940649" </w:instrText>
          </w:r>
          <w:r>
            <w:fldChar w:fldCharType="separate"/>
          </w:r>
          <w:r>
            <w:rPr>
              <w:rStyle w:val="25"/>
              <w:rFonts w:ascii="仿宋_GB2312" w:hAnsi="宋体" w:eastAsia="仿宋_GB2312"/>
              <w:sz w:val="24"/>
              <w:szCs w:val="24"/>
            </w:rPr>
            <w:t>5.4.1  募集资金</w:t>
          </w:r>
          <w:r>
            <w:rPr>
              <w:sz w:val="24"/>
              <w:szCs w:val="24"/>
            </w:rPr>
            <w:tab/>
          </w:r>
          <w:r>
            <w:rPr>
              <w:sz w:val="24"/>
              <w:szCs w:val="24"/>
            </w:rPr>
            <w:fldChar w:fldCharType="begin"/>
          </w:r>
          <w:r>
            <w:rPr>
              <w:sz w:val="24"/>
              <w:szCs w:val="24"/>
            </w:rPr>
            <w:instrText xml:space="preserve"> PAGEREF _Toc105940649 \h </w:instrText>
          </w:r>
          <w:r>
            <w:rPr>
              <w:sz w:val="24"/>
              <w:szCs w:val="24"/>
            </w:rPr>
            <w:fldChar w:fldCharType="separate"/>
          </w:r>
          <w:r>
            <w:rPr>
              <w:sz w:val="24"/>
              <w:szCs w:val="24"/>
            </w:rPr>
            <w:t>145</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"_Toc105940650" </w:instrText>
          </w:r>
          <w:r>
            <w:fldChar w:fldCharType="separate"/>
          </w:r>
          <w:r>
            <w:rPr>
              <w:rStyle w:val="25"/>
              <w:rFonts w:ascii="仿宋_GB2312" w:hAnsi="宋体" w:eastAsia="仿宋_GB2312"/>
              <w:sz w:val="24"/>
              <w:szCs w:val="24"/>
            </w:rPr>
            <w:t>5.4.2  资金占用</w:t>
          </w:r>
          <w:r>
            <w:rPr>
              <w:sz w:val="24"/>
              <w:szCs w:val="24"/>
            </w:rPr>
            <w:tab/>
          </w:r>
          <w:r>
            <w:rPr>
              <w:sz w:val="24"/>
              <w:szCs w:val="24"/>
            </w:rPr>
            <w:fldChar w:fldCharType="begin"/>
          </w:r>
          <w:r>
            <w:rPr>
              <w:sz w:val="24"/>
              <w:szCs w:val="24"/>
            </w:rPr>
            <w:instrText xml:space="preserve"> PAGEREF _Toc105940650 \h </w:instrText>
          </w:r>
          <w:r>
            <w:rPr>
              <w:sz w:val="24"/>
              <w:szCs w:val="24"/>
            </w:rPr>
            <w:fldChar w:fldCharType="separate"/>
          </w:r>
          <w:r>
            <w:rPr>
              <w:sz w:val="24"/>
              <w:szCs w:val="24"/>
            </w:rPr>
            <w:t>147</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"_Toc105940651" </w:instrText>
          </w:r>
          <w:r>
            <w:fldChar w:fldCharType="separate"/>
          </w:r>
          <w:r>
            <w:rPr>
              <w:rStyle w:val="25"/>
              <w:rFonts w:ascii="仿宋_GB2312" w:hAnsi="宋体" w:eastAsia="仿宋_GB2312"/>
              <w:sz w:val="24"/>
              <w:szCs w:val="24"/>
            </w:rPr>
            <w:t>5.4.3  关联方与关联交易</w:t>
          </w:r>
          <w:r>
            <w:rPr>
              <w:sz w:val="24"/>
              <w:szCs w:val="24"/>
            </w:rPr>
            <w:tab/>
          </w:r>
          <w:r>
            <w:rPr>
              <w:sz w:val="24"/>
              <w:szCs w:val="24"/>
            </w:rPr>
            <w:fldChar w:fldCharType="begin"/>
          </w:r>
          <w:r>
            <w:rPr>
              <w:sz w:val="24"/>
              <w:szCs w:val="24"/>
            </w:rPr>
            <w:instrText xml:space="preserve"> PAGEREF _Toc105940651 \h </w:instrText>
          </w:r>
          <w:r>
            <w:rPr>
              <w:sz w:val="24"/>
              <w:szCs w:val="24"/>
            </w:rPr>
            <w:fldChar w:fldCharType="separate"/>
          </w:r>
          <w:r>
            <w:rPr>
              <w:sz w:val="24"/>
              <w:szCs w:val="24"/>
            </w:rPr>
            <w:t>149</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"_Toc105940652" </w:instrText>
          </w:r>
          <w:r>
            <w:fldChar w:fldCharType="separate"/>
          </w:r>
          <w:r>
            <w:rPr>
              <w:rStyle w:val="25"/>
              <w:rFonts w:ascii="仿宋_GB2312" w:hAnsi="宋体" w:eastAsia="仿宋_GB2312"/>
              <w:sz w:val="24"/>
              <w:szCs w:val="24"/>
            </w:rPr>
            <w:t>5.4.4  对外担保</w:t>
          </w:r>
          <w:r>
            <w:rPr>
              <w:sz w:val="24"/>
              <w:szCs w:val="24"/>
            </w:rPr>
            <w:tab/>
          </w:r>
          <w:r>
            <w:rPr>
              <w:sz w:val="24"/>
              <w:szCs w:val="24"/>
            </w:rPr>
            <w:fldChar w:fldCharType="begin"/>
          </w:r>
          <w:r>
            <w:rPr>
              <w:sz w:val="24"/>
              <w:szCs w:val="24"/>
            </w:rPr>
            <w:instrText xml:space="preserve"> PAGEREF _Toc105940652 \h </w:instrText>
          </w:r>
          <w:r>
            <w:rPr>
              <w:sz w:val="24"/>
              <w:szCs w:val="24"/>
            </w:rPr>
            <w:fldChar w:fldCharType="separate"/>
          </w:r>
          <w:r>
            <w:rPr>
              <w:sz w:val="24"/>
              <w:szCs w:val="24"/>
            </w:rPr>
            <w:t>150</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"_Toc105940653" </w:instrText>
          </w:r>
          <w:r>
            <w:fldChar w:fldCharType="separate"/>
          </w:r>
          <w:r>
            <w:rPr>
              <w:rStyle w:val="25"/>
              <w:rFonts w:ascii="仿宋_GB2312" w:hAnsi="宋体" w:eastAsia="仿宋_GB2312"/>
              <w:sz w:val="24"/>
              <w:szCs w:val="24"/>
            </w:rPr>
            <w:t>5.4.5  提供财务资助</w:t>
          </w:r>
          <w:r>
            <w:rPr>
              <w:sz w:val="24"/>
              <w:szCs w:val="24"/>
            </w:rPr>
            <w:tab/>
          </w:r>
          <w:r>
            <w:rPr>
              <w:sz w:val="24"/>
              <w:szCs w:val="24"/>
            </w:rPr>
            <w:fldChar w:fldCharType="begin"/>
          </w:r>
          <w:r>
            <w:rPr>
              <w:sz w:val="24"/>
              <w:szCs w:val="24"/>
            </w:rPr>
            <w:instrText xml:space="preserve"> PAGEREF _Toc105940653 \h </w:instrText>
          </w:r>
          <w:r>
            <w:rPr>
              <w:sz w:val="24"/>
              <w:szCs w:val="24"/>
            </w:rPr>
            <w:fldChar w:fldCharType="separate"/>
          </w:r>
          <w:r>
            <w:rPr>
              <w:sz w:val="24"/>
              <w:szCs w:val="24"/>
            </w:rPr>
            <w:t>151</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"_Toc105940654" </w:instrText>
          </w:r>
          <w:r>
            <w:fldChar w:fldCharType="separate"/>
          </w:r>
          <w:r>
            <w:rPr>
              <w:rStyle w:val="25"/>
              <w:rFonts w:ascii="仿宋_GB2312" w:hAnsi="宋体" w:eastAsia="仿宋_GB2312"/>
              <w:sz w:val="24"/>
              <w:szCs w:val="24"/>
            </w:rPr>
            <w:t>5.4.6  股份解除限售</w:t>
          </w:r>
          <w:r>
            <w:rPr>
              <w:sz w:val="24"/>
              <w:szCs w:val="24"/>
            </w:rPr>
            <w:tab/>
          </w:r>
          <w:r>
            <w:rPr>
              <w:sz w:val="24"/>
              <w:szCs w:val="24"/>
            </w:rPr>
            <w:fldChar w:fldCharType="begin"/>
          </w:r>
          <w:r>
            <w:rPr>
              <w:sz w:val="24"/>
              <w:szCs w:val="24"/>
            </w:rPr>
            <w:instrText xml:space="preserve"> PAGEREF _Toc105940654 \h </w:instrText>
          </w:r>
          <w:r>
            <w:rPr>
              <w:sz w:val="24"/>
              <w:szCs w:val="24"/>
            </w:rPr>
            <w:fldChar w:fldCharType="separate"/>
          </w:r>
          <w:r>
            <w:rPr>
              <w:sz w:val="24"/>
              <w:szCs w:val="24"/>
            </w:rPr>
            <w:t>152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"_Toc105940655" </w:instrText>
          </w:r>
          <w:r>
            <w:fldChar w:fldCharType="separate"/>
          </w:r>
          <w:r>
            <w:rPr>
              <w:rStyle w:val="25"/>
              <w:rFonts w:ascii="仿宋_GB2312" w:hAnsi="宋体" w:eastAsia="仿宋_GB2312"/>
              <w:sz w:val="24"/>
              <w:szCs w:val="24"/>
            </w:rPr>
            <w:t>5.4.7  证券投资/风险投资</w:t>
          </w:r>
          <w:r>
            <w:rPr>
              <w:sz w:val="24"/>
              <w:szCs w:val="24"/>
            </w:rPr>
            <w:tab/>
          </w:r>
          <w:r>
            <w:rPr>
              <w:sz w:val="24"/>
              <w:szCs w:val="24"/>
            </w:rPr>
            <w:fldChar w:fldCharType="begin"/>
          </w:r>
          <w:r>
            <w:rPr>
              <w:sz w:val="24"/>
              <w:szCs w:val="24"/>
            </w:rPr>
            <w:instrText xml:space="preserve"> PAGEREF _Toc105940655 \h </w:instrText>
          </w:r>
          <w:r>
            <w:rPr>
              <w:sz w:val="24"/>
              <w:szCs w:val="24"/>
            </w:rPr>
            <w:fldChar w:fldCharType="separate"/>
          </w:r>
          <w:r>
            <w:rPr>
              <w:sz w:val="24"/>
              <w:szCs w:val="24"/>
            </w:rPr>
            <w:t>152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"_Toc105940656" </w:instrText>
          </w:r>
          <w:r>
            <w:fldChar w:fldCharType="separate"/>
          </w:r>
          <w:r>
            <w:rPr>
              <w:rStyle w:val="25"/>
              <w:rFonts w:ascii="仿宋_GB2312" w:hAnsi="宋体" w:eastAsia="仿宋_GB2312"/>
              <w:sz w:val="24"/>
              <w:szCs w:val="24"/>
            </w:rPr>
            <w:t>5.4.8  衍生品交易/套期保值</w:t>
          </w:r>
          <w:r>
            <w:rPr>
              <w:sz w:val="24"/>
              <w:szCs w:val="24"/>
            </w:rPr>
            <w:tab/>
          </w:r>
          <w:r>
            <w:rPr>
              <w:sz w:val="24"/>
              <w:szCs w:val="24"/>
            </w:rPr>
            <w:fldChar w:fldCharType="begin"/>
          </w:r>
          <w:r>
            <w:rPr>
              <w:sz w:val="24"/>
              <w:szCs w:val="24"/>
            </w:rPr>
            <w:instrText xml:space="preserve"> PAGEREF _Toc105940656 \h </w:instrText>
          </w:r>
          <w:r>
            <w:rPr>
              <w:sz w:val="24"/>
              <w:szCs w:val="24"/>
            </w:rPr>
            <w:fldChar w:fldCharType="separate"/>
          </w:r>
          <w:r>
            <w:rPr>
              <w:sz w:val="24"/>
              <w:szCs w:val="24"/>
            </w:rPr>
            <w:t>152</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"_Toc105940657" </w:instrText>
          </w:r>
          <w:r>
            <w:fldChar w:fldCharType="separate"/>
          </w:r>
          <w:r>
            <w:rPr>
              <w:rStyle w:val="25"/>
              <w:rFonts w:ascii="仿宋_GB2312" w:hAnsi="宋体" w:eastAsia="仿宋_GB2312"/>
              <w:sz w:val="24"/>
              <w:szCs w:val="24"/>
            </w:rPr>
            <w:t>5.4.9  委托理财</w:t>
          </w:r>
          <w:r>
            <w:rPr>
              <w:sz w:val="24"/>
              <w:szCs w:val="24"/>
            </w:rPr>
            <w:tab/>
          </w:r>
          <w:r>
            <w:rPr>
              <w:sz w:val="24"/>
              <w:szCs w:val="24"/>
            </w:rPr>
            <w:fldChar w:fldCharType="begin"/>
          </w:r>
          <w:r>
            <w:rPr>
              <w:sz w:val="24"/>
              <w:szCs w:val="24"/>
            </w:rPr>
            <w:instrText xml:space="preserve"> PAGEREF _Toc105940657 \h </w:instrText>
          </w:r>
          <w:r>
            <w:rPr>
              <w:sz w:val="24"/>
              <w:szCs w:val="24"/>
            </w:rPr>
            <w:fldChar w:fldCharType="separate"/>
          </w:r>
          <w:r>
            <w:rPr>
              <w:sz w:val="24"/>
              <w:szCs w:val="24"/>
            </w:rPr>
            <w:t>153</w:t>
          </w:r>
          <w:r>
            <w:rPr>
              <w:sz w:val="24"/>
              <w:szCs w:val="24"/>
            </w:rPr>
            <w:fldChar w:fldCharType="end"/>
          </w:r>
          <w:r>
            <w:rPr>
              <w:sz w:val="24"/>
              <w:szCs w:val="24"/>
            </w:rPr>
            <w:fldChar w:fldCharType="end"/>
          </w:r>
        </w:p>
        <w:p>
          <w:pPr>
            <w:pStyle w:val="9"/>
            <w:tabs>
              <w:tab w:val="right" w:leader="dot" w:pos="8302"/>
            </w:tabs>
            <w:rPr>
              <w:rFonts w:asciiTheme="minorHAnsi" w:hAnsiTheme="minorHAnsi" w:eastAsiaTheme="minorEastAsia" w:cstheme="minorBidi"/>
              <w:sz w:val="24"/>
              <w:szCs w:val="24"/>
            </w:rPr>
          </w:pPr>
          <w:r>
            <w:fldChar w:fldCharType="begin"/>
          </w:r>
          <w:r>
            <w:instrText xml:space="preserve"> HYPERLINK \l "_Toc105940658" </w:instrText>
          </w:r>
          <w:r>
            <w:fldChar w:fldCharType="separate"/>
          </w:r>
          <w:r>
            <w:rPr>
              <w:rStyle w:val="25"/>
              <w:rFonts w:ascii="仿宋_GB2312" w:hAnsi="宋体" w:eastAsia="仿宋_GB2312"/>
              <w:sz w:val="24"/>
              <w:szCs w:val="24"/>
            </w:rPr>
            <w:t>5.4.10 日常经营重大合同</w:t>
          </w:r>
          <w:r>
            <w:rPr>
              <w:sz w:val="24"/>
              <w:szCs w:val="24"/>
            </w:rPr>
            <w:tab/>
          </w:r>
          <w:r>
            <w:rPr>
              <w:sz w:val="24"/>
              <w:szCs w:val="24"/>
            </w:rPr>
            <w:fldChar w:fldCharType="begin"/>
          </w:r>
          <w:r>
            <w:rPr>
              <w:sz w:val="24"/>
              <w:szCs w:val="24"/>
            </w:rPr>
            <w:instrText xml:space="preserve"> PAGEREF _Toc105940658 \h </w:instrText>
          </w:r>
          <w:r>
            <w:rPr>
              <w:sz w:val="24"/>
              <w:szCs w:val="24"/>
            </w:rPr>
            <w:fldChar w:fldCharType="separate"/>
          </w:r>
          <w:r>
            <w:rPr>
              <w:sz w:val="24"/>
              <w:szCs w:val="24"/>
            </w:rPr>
            <w:t>153</w:t>
          </w:r>
          <w:r>
            <w:rPr>
              <w:sz w:val="24"/>
              <w:szCs w:val="24"/>
            </w:rPr>
            <w:fldChar w:fldCharType="end"/>
          </w:r>
          <w:r>
            <w:rPr>
              <w:sz w:val="24"/>
              <w:szCs w:val="24"/>
            </w:rPr>
            <w:fldChar w:fldCharType="end"/>
          </w:r>
        </w:p>
        <w:p>
          <w:pPr>
            <w:pStyle w:val="15"/>
            <w:tabs>
              <w:tab w:val="right" w:leader="dot" w:pos="8302"/>
            </w:tabs>
            <w:rPr>
              <w:rFonts w:asciiTheme="minorHAnsi" w:hAnsiTheme="minorHAnsi" w:eastAsiaTheme="minorEastAsia" w:cstheme="minorBidi"/>
              <w:sz w:val="24"/>
              <w:szCs w:val="24"/>
            </w:rPr>
          </w:pPr>
          <w:r>
            <w:fldChar w:fldCharType="begin"/>
          </w:r>
          <w:r>
            <w:instrText xml:space="preserve"> HYPERLINK \l "_Toc105940659" </w:instrText>
          </w:r>
          <w:r>
            <w:fldChar w:fldCharType="separate"/>
          </w:r>
          <w:r>
            <w:rPr>
              <w:rStyle w:val="25"/>
              <w:rFonts w:ascii="仿宋_GB2312" w:hAnsi="宋体" w:eastAsia="仿宋_GB2312"/>
              <w:sz w:val="24"/>
              <w:szCs w:val="24"/>
            </w:rPr>
            <w:t>第六章  附则</w:t>
          </w:r>
          <w:r>
            <w:rPr>
              <w:sz w:val="24"/>
              <w:szCs w:val="24"/>
            </w:rPr>
            <w:tab/>
          </w:r>
          <w:r>
            <w:rPr>
              <w:sz w:val="24"/>
              <w:szCs w:val="24"/>
            </w:rPr>
            <w:fldChar w:fldCharType="begin"/>
          </w:r>
          <w:r>
            <w:rPr>
              <w:sz w:val="24"/>
              <w:szCs w:val="24"/>
            </w:rPr>
            <w:instrText xml:space="preserve"> PAGEREF _Toc105940659 \h </w:instrText>
          </w:r>
          <w:r>
            <w:rPr>
              <w:sz w:val="24"/>
              <w:szCs w:val="24"/>
            </w:rPr>
            <w:fldChar w:fldCharType="separate"/>
          </w:r>
          <w:r>
            <w:rPr>
              <w:sz w:val="24"/>
              <w:szCs w:val="24"/>
            </w:rPr>
            <w:t>154</w:t>
          </w:r>
          <w:r>
            <w:rPr>
              <w:sz w:val="24"/>
              <w:szCs w:val="24"/>
            </w:rPr>
            <w:fldChar w:fldCharType="end"/>
          </w:r>
          <w:r>
            <w:rPr>
              <w:sz w:val="24"/>
              <w:szCs w:val="24"/>
            </w:rPr>
            <w:fldChar w:fldCharType="end"/>
          </w:r>
        </w:p>
        <w:p>
          <w:pPr>
            <w:pStyle w:val="18"/>
            <w:tabs>
              <w:tab w:val="right" w:leader="dot" w:pos="8302"/>
            </w:tabs>
            <w:rPr>
              <w:sz w:val="24"/>
              <w:szCs w:val="24"/>
            </w:rPr>
          </w:pPr>
          <w:r>
            <w:rPr>
              <w:rStyle w:val="25"/>
              <w:rFonts w:ascii="仿宋_GB2312" w:hAnsi="宋体" w:eastAsia="仿宋_GB2312"/>
              <w:color w:val="auto"/>
              <w:sz w:val="24"/>
              <w:szCs w:val="24"/>
              <w:u w:val="none"/>
            </w:rPr>
            <w:t>附件1</w:t>
          </w:r>
          <w:r>
            <w:fldChar w:fldCharType="begin"/>
          </w:r>
          <w:r>
            <w:instrText xml:space="preserve"> HYPERLINK \l "_Toc105940661" </w:instrText>
          </w:r>
          <w:r>
            <w:fldChar w:fldCharType="separate"/>
          </w:r>
          <w:r>
            <w:rPr>
              <w:rStyle w:val="25"/>
              <w:rFonts w:ascii="仿宋_GB2312" w:hAnsi="宋体" w:eastAsia="仿宋_GB2312"/>
              <w:sz w:val="24"/>
              <w:szCs w:val="24"/>
            </w:rPr>
            <w:t>特定行业保荐人尽职调查工作指南第1</w:t>
          </w:r>
          <w:r>
            <w:rPr>
              <w:rStyle w:val="25"/>
              <w:rFonts w:hint="eastAsia" w:ascii="仿宋_GB2312" w:hAnsi="宋体" w:eastAsia="仿宋_GB2312"/>
              <w:sz w:val="24"/>
              <w:szCs w:val="24"/>
            </w:rPr>
            <w:t>号</w:t>
          </w:r>
          <w:r>
            <w:rPr>
              <w:rStyle w:val="25"/>
              <w:rFonts w:ascii="仿宋_GB2312" w:hAnsi="宋体" w:eastAsia="仿宋_GB2312"/>
              <w:sz w:val="24"/>
              <w:szCs w:val="24"/>
            </w:rPr>
            <w:t>——工程类企业</w:t>
          </w:r>
          <w:r>
            <w:rPr>
              <w:rFonts w:ascii="等线" w:hAnsi="等线" w:eastAsia="等线"/>
              <w:sz w:val="24"/>
              <w:szCs w:val="24"/>
            </w:rPr>
            <w:tab/>
          </w:r>
          <w:r>
            <w:rPr>
              <w:rFonts w:ascii="等线" w:hAnsi="等线" w:eastAsia="等线"/>
              <w:sz w:val="24"/>
              <w:szCs w:val="24"/>
            </w:rPr>
            <w:fldChar w:fldCharType="begin"/>
          </w:r>
          <w:r>
            <w:rPr>
              <w:rFonts w:ascii="等线" w:hAnsi="等线" w:eastAsia="等线"/>
              <w:sz w:val="24"/>
              <w:szCs w:val="24"/>
            </w:rPr>
            <w:instrText xml:space="preserve"> PAGEREF _Toc105940662 \h </w:instrText>
          </w:r>
          <w:r>
            <w:rPr>
              <w:rFonts w:ascii="等线" w:hAnsi="等线" w:eastAsia="等线"/>
              <w:sz w:val="24"/>
              <w:szCs w:val="24"/>
            </w:rPr>
            <w:fldChar w:fldCharType="separate"/>
          </w:r>
          <w:r>
            <w:rPr>
              <w:rFonts w:ascii="等线" w:hAnsi="等线" w:eastAsia="等线"/>
              <w:sz w:val="24"/>
              <w:szCs w:val="24"/>
            </w:rPr>
            <w:t>155</w:t>
          </w:r>
          <w:r>
            <w:rPr>
              <w:rFonts w:ascii="等线" w:hAnsi="等线" w:eastAsia="等线"/>
              <w:sz w:val="24"/>
              <w:szCs w:val="24"/>
            </w:rPr>
            <w:fldChar w:fldCharType="end"/>
          </w:r>
          <w:r>
            <w:rPr>
              <w:rFonts w:ascii="等线" w:hAnsi="等线" w:eastAsia="等线"/>
              <w:sz w:val="24"/>
              <w:szCs w:val="24"/>
            </w:rPr>
            <w:fldChar w:fldCharType="end"/>
          </w:r>
        </w:p>
        <w:p>
          <w:pPr>
            <w:pStyle w:val="18"/>
            <w:tabs>
              <w:tab w:val="right" w:leader="dot" w:pos="8302"/>
            </w:tabs>
            <w:rPr>
              <w:sz w:val="24"/>
              <w:szCs w:val="24"/>
            </w:rPr>
          </w:pPr>
          <w:r>
            <w:rPr>
              <w:rStyle w:val="25"/>
              <w:rFonts w:ascii="仿宋_GB2312" w:hAnsi="宋体" w:eastAsia="仿宋_GB2312"/>
              <w:color w:val="auto"/>
              <w:sz w:val="24"/>
              <w:szCs w:val="24"/>
              <w:u w:val="none"/>
            </w:rPr>
            <w:t>附件2特定行业保荐人尽职调查工作指南第2号</w:t>
          </w:r>
          <w:r>
            <w:fldChar w:fldCharType="begin"/>
          </w:r>
          <w:r>
            <w:instrText xml:space="preserve"> HYPERLINK \l "_Toc105940665" </w:instrText>
          </w:r>
          <w:r>
            <w:fldChar w:fldCharType="separate"/>
          </w:r>
          <w:r>
            <w:rPr>
              <w:rStyle w:val="25"/>
              <w:rFonts w:ascii="仿宋_GB2312" w:hAnsi="宋体" w:eastAsia="仿宋_GB2312"/>
              <w:sz w:val="24"/>
              <w:szCs w:val="24"/>
            </w:rPr>
            <w:t>——互联网企业</w:t>
          </w:r>
          <w:r>
            <w:rPr>
              <w:rFonts w:ascii="等线" w:hAnsi="等线" w:eastAsia="等线"/>
              <w:sz w:val="24"/>
              <w:szCs w:val="24"/>
            </w:rPr>
            <w:tab/>
          </w:r>
          <w:r>
            <w:rPr>
              <w:rFonts w:ascii="等线" w:hAnsi="等线" w:eastAsia="等线"/>
              <w:sz w:val="24"/>
              <w:szCs w:val="24"/>
            </w:rPr>
            <w:fldChar w:fldCharType="begin"/>
          </w:r>
          <w:r>
            <w:rPr>
              <w:rFonts w:ascii="等线" w:hAnsi="等线" w:eastAsia="等线"/>
              <w:sz w:val="24"/>
              <w:szCs w:val="24"/>
            </w:rPr>
            <w:instrText xml:space="preserve"> PAGEREF _Toc105940665 \h </w:instrText>
          </w:r>
          <w:r>
            <w:rPr>
              <w:rFonts w:ascii="等线" w:hAnsi="等线" w:eastAsia="等线"/>
              <w:sz w:val="24"/>
              <w:szCs w:val="24"/>
            </w:rPr>
            <w:fldChar w:fldCharType="separate"/>
          </w:r>
          <w:r>
            <w:rPr>
              <w:rFonts w:ascii="等线" w:hAnsi="等线" w:eastAsia="等线"/>
              <w:sz w:val="24"/>
              <w:szCs w:val="24"/>
            </w:rPr>
            <w:t>167</w:t>
          </w:r>
          <w:r>
            <w:rPr>
              <w:rFonts w:ascii="等线" w:hAnsi="等线" w:eastAsia="等线"/>
              <w:sz w:val="24"/>
              <w:szCs w:val="24"/>
            </w:rPr>
            <w:fldChar w:fldCharType="end"/>
          </w:r>
          <w:r>
            <w:rPr>
              <w:rFonts w:ascii="等线" w:hAnsi="等线" w:eastAsia="等线"/>
              <w:sz w:val="24"/>
              <w:szCs w:val="24"/>
            </w:rPr>
            <w:fldChar w:fldCharType="end"/>
          </w:r>
        </w:p>
        <w:p>
          <w:pPr>
            <w:pStyle w:val="18"/>
            <w:tabs>
              <w:tab w:val="right" w:leader="dot" w:pos="8302"/>
            </w:tabs>
            <w:rPr>
              <w:sz w:val="24"/>
              <w:szCs w:val="24"/>
            </w:rPr>
          </w:pPr>
          <w:r>
            <w:rPr>
              <w:rStyle w:val="25"/>
              <w:rFonts w:ascii="仿宋_GB2312" w:hAnsi="宋体" w:eastAsia="仿宋_GB2312"/>
              <w:color w:val="auto"/>
              <w:sz w:val="24"/>
              <w:szCs w:val="24"/>
              <w:u w:val="none"/>
            </w:rPr>
            <w:t>附件3</w:t>
          </w:r>
          <w:r>
            <w:rPr>
              <w:rStyle w:val="25"/>
              <w:color w:val="auto"/>
              <w:sz w:val="24"/>
              <w:szCs w:val="24"/>
              <w:u w:val="none"/>
            </w:rPr>
            <w:fldChar w:fldCharType="begin"/>
          </w:r>
          <w:r>
            <w:rPr>
              <w:rStyle w:val="25"/>
              <w:color w:val="auto"/>
              <w:sz w:val="24"/>
              <w:szCs w:val="24"/>
              <w:u w:val="none"/>
            </w:rPr>
            <w:instrText xml:space="preserve"> </w:instrText>
          </w:r>
          <w:r>
            <w:rPr>
              <w:sz w:val="24"/>
              <w:szCs w:val="24"/>
            </w:rPr>
            <w:instrText xml:space="preserve">HYPERLINK \l "_Toc105940667"</w:instrText>
          </w:r>
          <w:r>
            <w:rPr>
              <w:rStyle w:val="25"/>
              <w:color w:val="auto"/>
              <w:sz w:val="24"/>
              <w:szCs w:val="24"/>
              <w:u w:val="none"/>
            </w:rPr>
            <w:instrText xml:space="preserve"> </w:instrText>
          </w:r>
          <w:r>
            <w:rPr>
              <w:rStyle w:val="25"/>
              <w:color w:val="auto"/>
              <w:sz w:val="24"/>
              <w:szCs w:val="24"/>
              <w:u w:val="none"/>
            </w:rPr>
            <w:fldChar w:fldCharType="separate"/>
          </w:r>
          <w:r>
            <w:rPr>
              <w:rStyle w:val="25"/>
              <w:rFonts w:ascii="仿宋_GB2312" w:hAnsi="宋体" w:eastAsia="仿宋_GB2312"/>
              <w:color w:val="auto"/>
              <w:sz w:val="24"/>
              <w:szCs w:val="24"/>
              <w:u w:val="none"/>
            </w:rPr>
            <w:t>特定行业保荐人尽职调查工作指南第3号</w:t>
          </w:r>
          <w:r>
            <w:fldChar w:fldCharType="begin"/>
          </w:r>
          <w:r>
            <w:instrText xml:space="preserve"> HYPERLINK \l "_Toc105940668" </w:instrText>
          </w:r>
          <w:r>
            <w:fldChar w:fldCharType="separate"/>
          </w:r>
          <w:r>
            <w:rPr>
              <w:rStyle w:val="25"/>
              <w:rFonts w:ascii="仿宋_GB2312" w:hAnsi="宋体" w:eastAsia="仿宋_GB2312"/>
              <w:color w:val="auto"/>
              <w:sz w:val="24"/>
              <w:szCs w:val="24"/>
              <w:u w:val="none"/>
            </w:rPr>
            <w:t>——消费类企业</w:t>
          </w:r>
          <w:r>
            <w:rPr>
              <w:rFonts w:ascii="等线" w:hAnsi="等线" w:eastAsia="等线"/>
              <w:sz w:val="24"/>
              <w:szCs w:val="24"/>
            </w:rPr>
            <w:tab/>
          </w:r>
          <w:r>
            <w:rPr>
              <w:rFonts w:ascii="等线" w:hAnsi="等线" w:eastAsia="等线"/>
              <w:sz w:val="24"/>
              <w:szCs w:val="24"/>
            </w:rPr>
            <w:fldChar w:fldCharType="begin"/>
          </w:r>
          <w:r>
            <w:rPr>
              <w:rFonts w:ascii="等线" w:hAnsi="等线" w:eastAsia="等线"/>
              <w:sz w:val="24"/>
              <w:szCs w:val="24"/>
            </w:rPr>
            <w:instrText xml:space="preserve"> PAGEREF _Toc105940668 \h </w:instrText>
          </w:r>
          <w:r>
            <w:rPr>
              <w:rFonts w:ascii="等线" w:hAnsi="等线" w:eastAsia="等线"/>
              <w:sz w:val="24"/>
              <w:szCs w:val="24"/>
            </w:rPr>
            <w:fldChar w:fldCharType="separate"/>
          </w:r>
          <w:r>
            <w:rPr>
              <w:rFonts w:ascii="等线" w:hAnsi="等线" w:eastAsia="等线"/>
              <w:sz w:val="24"/>
              <w:szCs w:val="24"/>
            </w:rPr>
            <w:t>180</w:t>
          </w:r>
          <w:r>
            <w:rPr>
              <w:rFonts w:ascii="等线" w:hAnsi="等线" w:eastAsia="等线"/>
              <w:sz w:val="24"/>
              <w:szCs w:val="24"/>
            </w:rPr>
            <w:fldChar w:fldCharType="end"/>
          </w:r>
          <w:r>
            <w:rPr>
              <w:rFonts w:ascii="等线" w:hAnsi="等线" w:eastAsia="等线"/>
              <w:sz w:val="24"/>
              <w:szCs w:val="24"/>
            </w:rPr>
            <w:fldChar w:fldCharType="end"/>
          </w:r>
        </w:p>
        <w:p>
          <w:pPr>
            <w:pStyle w:val="18"/>
            <w:tabs>
              <w:tab w:val="right" w:leader="dot" w:pos="8302"/>
            </w:tabs>
            <w:rPr>
              <w:sz w:val="24"/>
              <w:szCs w:val="24"/>
            </w:rPr>
          </w:pPr>
          <w:r>
            <w:rPr>
              <w:rStyle w:val="25"/>
              <w:color w:val="auto"/>
              <w:sz w:val="24"/>
              <w:szCs w:val="24"/>
              <w:u w:val="none"/>
            </w:rPr>
            <w:fldChar w:fldCharType="end"/>
          </w:r>
          <w:r>
            <w:rPr>
              <w:rStyle w:val="25"/>
              <w:sz w:val="24"/>
              <w:szCs w:val="24"/>
            </w:rPr>
            <w:fldChar w:fldCharType="begin"/>
          </w:r>
          <w:r>
            <w:rPr>
              <w:rStyle w:val="25"/>
              <w:sz w:val="24"/>
              <w:szCs w:val="24"/>
            </w:rPr>
            <w:instrText xml:space="preserve"> </w:instrText>
          </w:r>
          <w:r>
            <w:rPr>
              <w:sz w:val="24"/>
              <w:szCs w:val="24"/>
            </w:rPr>
            <w:instrText xml:space="preserve">HYPERLINK \l "_Toc105940669"</w:instrText>
          </w:r>
          <w:r>
            <w:rPr>
              <w:rStyle w:val="25"/>
              <w:sz w:val="24"/>
              <w:szCs w:val="24"/>
            </w:rPr>
            <w:instrText xml:space="preserve"> </w:instrText>
          </w:r>
          <w:r>
            <w:rPr>
              <w:rStyle w:val="25"/>
              <w:sz w:val="24"/>
              <w:szCs w:val="24"/>
            </w:rPr>
            <w:fldChar w:fldCharType="separate"/>
          </w:r>
          <w:r>
            <w:rPr>
              <w:rStyle w:val="25"/>
              <w:rFonts w:ascii="仿宋_GB2312" w:hAnsi="宋体" w:eastAsia="仿宋_GB2312"/>
              <w:sz w:val="24"/>
              <w:szCs w:val="24"/>
            </w:rPr>
            <w:t>附件4</w:t>
          </w:r>
          <w:r>
            <w:rPr>
              <w:rStyle w:val="25"/>
              <w:color w:val="auto"/>
              <w:sz w:val="24"/>
              <w:szCs w:val="24"/>
              <w:u w:val="none"/>
            </w:rPr>
            <w:fldChar w:fldCharType="begin"/>
          </w:r>
          <w:r>
            <w:rPr>
              <w:rStyle w:val="25"/>
              <w:color w:val="auto"/>
              <w:sz w:val="24"/>
              <w:szCs w:val="24"/>
              <w:u w:val="none"/>
            </w:rPr>
            <w:instrText xml:space="preserve"> </w:instrText>
          </w:r>
          <w:r>
            <w:rPr>
              <w:sz w:val="24"/>
              <w:szCs w:val="24"/>
            </w:rPr>
            <w:instrText xml:space="preserve">HYPERLINK \l "_Toc105940670"</w:instrText>
          </w:r>
          <w:r>
            <w:rPr>
              <w:rStyle w:val="25"/>
              <w:color w:val="auto"/>
              <w:sz w:val="24"/>
              <w:szCs w:val="24"/>
              <w:u w:val="none"/>
            </w:rPr>
            <w:instrText xml:space="preserve"> </w:instrText>
          </w:r>
          <w:r>
            <w:rPr>
              <w:rStyle w:val="25"/>
              <w:color w:val="auto"/>
              <w:sz w:val="24"/>
              <w:szCs w:val="24"/>
              <w:u w:val="none"/>
            </w:rPr>
            <w:fldChar w:fldCharType="separate"/>
          </w:r>
          <w:r>
            <w:rPr>
              <w:rStyle w:val="25"/>
              <w:rFonts w:ascii="仿宋_GB2312" w:hAnsi="宋体" w:eastAsia="仿宋_GB2312"/>
              <w:color w:val="auto"/>
              <w:sz w:val="24"/>
              <w:szCs w:val="24"/>
              <w:u w:val="none"/>
            </w:rPr>
            <w:t>特定行业保荐人尽职调查工作指南第4号</w:t>
          </w:r>
          <w:r>
            <w:fldChar w:fldCharType="begin"/>
          </w:r>
          <w:r>
            <w:instrText xml:space="preserve"> HYPERLINK \l "_Toc105940671" </w:instrText>
          </w:r>
          <w:r>
            <w:fldChar w:fldCharType="separate"/>
          </w:r>
          <w:r>
            <w:rPr>
              <w:rStyle w:val="25"/>
              <w:rFonts w:ascii="仿宋_GB2312" w:hAnsi="宋体" w:eastAsia="仿宋_GB2312"/>
              <w:color w:val="auto"/>
              <w:sz w:val="24"/>
              <w:szCs w:val="24"/>
              <w:u w:val="none"/>
            </w:rPr>
            <w:t>——医药类企业</w:t>
          </w:r>
          <w:r>
            <w:rPr>
              <w:rFonts w:ascii="等线" w:hAnsi="等线" w:eastAsia="等线"/>
              <w:sz w:val="24"/>
              <w:szCs w:val="24"/>
            </w:rPr>
            <w:tab/>
          </w:r>
          <w:r>
            <w:rPr>
              <w:rFonts w:ascii="等线" w:hAnsi="等线" w:eastAsia="等线"/>
              <w:sz w:val="24"/>
              <w:szCs w:val="24"/>
            </w:rPr>
            <w:fldChar w:fldCharType="begin"/>
          </w:r>
          <w:r>
            <w:rPr>
              <w:rFonts w:ascii="等线" w:hAnsi="等线" w:eastAsia="等线"/>
              <w:sz w:val="24"/>
              <w:szCs w:val="24"/>
            </w:rPr>
            <w:instrText xml:space="preserve"> PAGEREF _Toc105940671 \h </w:instrText>
          </w:r>
          <w:r>
            <w:rPr>
              <w:rFonts w:ascii="等线" w:hAnsi="等线" w:eastAsia="等线"/>
              <w:sz w:val="24"/>
              <w:szCs w:val="24"/>
            </w:rPr>
            <w:fldChar w:fldCharType="separate"/>
          </w:r>
          <w:r>
            <w:rPr>
              <w:rFonts w:ascii="等线" w:hAnsi="等线" w:eastAsia="等线"/>
              <w:sz w:val="24"/>
              <w:szCs w:val="24"/>
            </w:rPr>
            <w:t>196</w:t>
          </w:r>
          <w:r>
            <w:rPr>
              <w:rFonts w:ascii="等线" w:hAnsi="等线" w:eastAsia="等线"/>
              <w:sz w:val="24"/>
              <w:szCs w:val="24"/>
            </w:rPr>
            <w:fldChar w:fldCharType="end"/>
          </w:r>
          <w:r>
            <w:rPr>
              <w:rFonts w:ascii="等线" w:hAnsi="等线" w:eastAsia="等线"/>
              <w:sz w:val="24"/>
              <w:szCs w:val="24"/>
            </w:rPr>
            <w:fldChar w:fldCharType="end"/>
          </w:r>
        </w:p>
        <w:p>
          <w:pPr>
            <w:pStyle w:val="18"/>
            <w:tabs>
              <w:tab w:val="right" w:leader="dot" w:pos="8302"/>
            </w:tabs>
            <w:ind w:left="0" w:leftChars="0"/>
            <w:rPr>
              <w:rFonts w:ascii="黑体" w:hAnsi="黑体" w:eastAsia="黑体"/>
              <w:b/>
              <w:color w:val="000000" w:themeColor="text1"/>
              <w:sz w:val="30"/>
              <w:szCs w:val="30"/>
              <w14:textFill>
                <w14:solidFill>
                  <w14:schemeClr w14:val="tx1"/>
                </w14:solidFill>
              </w14:textFill>
            </w:rPr>
            <w:sectPr>
              <w:footerReference r:id="rId3" w:type="default"/>
              <w:footerReference r:id="rId4" w:type="even"/>
              <w:pgSz w:w="11906" w:h="16838"/>
              <w:pgMar w:top="1440" w:right="1797" w:bottom="1440" w:left="1797" w:header="851" w:footer="992" w:gutter="0"/>
              <w:pgNumType w:fmt="upperRoman" w:start="1"/>
              <w:cols w:space="720" w:num="1"/>
              <w:docGrid w:linePitch="312" w:charSpace="0"/>
            </w:sectPr>
          </w:pPr>
          <w:r>
            <w:rPr>
              <w:rStyle w:val="25"/>
              <w:color w:val="auto"/>
              <w:sz w:val="24"/>
              <w:szCs w:val="24"/>
              <w:u w:val="none"/>
            </w:rPr>
            <w:fldChar w:fldCharType="end"/>
          </w:r>
          <w:r>
            <w:rPr>
              <w:rStyle w:val="25"/>
              <w:sz w:val="24"/>
              <w:szCs w:val="24"/>
            </w:rPr>
            <w:fldChar w:fldCharType="end"/>
          </w:r>
          <w:r>
            <w:rPr>
              <w:rFonts w:hint="eastAsia" w:ascii="仿宋_GB2312" w:hAnsi="仿宋"/>
              <w:sz w:val="24"/>
              <w:szCs w:val="24"/>
              <w:lang w:val="zh-CN"/>
            </w:rPr>
            <w:fldChar w:fldCharType="end"/>
          </w:r>
        </w:p>
      </w:sdtContent>
    </w:sdt>
    <w:p>
      <w:pPr>
        <w:widowControl/>
        <w:jc w:val="left"/>
        <w:rPr>
          <w:rFonts w:ascii="黑体" w:hAnsi="黑体" w:eastAsia="黑体"/>
          <w:b/>
          <w:color w:val="000000" w:themeColor="text1"/>
          <w:sz w:val="30"/>
          <w:szCs w:val="30"/>
          <w14:textFill>
            <w14:solidFill>
              <w14:schemeClr w14:val="tx1"/>
            </w14:solidFill>
          </w14:textFill>
        </w:rPr>
      </w:pPr>
    </w:p>
    <w:p>
      <w:pPr>
        <w:pStyle w:val="33"/>
        <w:spacing w:before="0" w:after="0" w:line="360" w:lineRule="auto"/>
        <w:rPr>
          <w:rFonts w:ascii="仿宋_GB2312" w:hAnsi="宋体" w:eastAsia="仿宋_GB2312"/>
          <w:color w:val="000000" w:themeColor="text1"/>
          <w:sz w:val="32"/>
          <w14:textFill>
            <w14:solidFill>
              <w14:schemeClr w14:val="tx1"/>
            </w14:solidFill>
          </w14:textFill>
        </w:rPr>
      </w:pPr>
      <w:bookmarkStart w:id="1" w:name="_Toc76472326"/>
      <w:bookmarkStart w:id="2" w:name="_Toc105940589"/>
      <w:r>
        <w:rPr>
          <w:rFonts w:hint="eastAsia" w:ascii="仿宋_GB2312" w:hAnsi="宋体" w:eastAsia="仿宋_GB2312"/>
          <w:color w:val="000000" w:themeColor="text1"/>
          <w:sz w:val="32"/>
          <w14:textFill>
            <w14:solidFill>
              <w14:schemeClr w14:val="tx1"/>
            </w14:solidFill>
          </w14:textFill>
        </w:rPr>
        <w:t>第一章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总则</w:t>
      </w:r>
      <w:bookmarkEnd w:id="1"/>
      <w:bookmarkEnd w:id="2"/>
    </w:p>
    <w:p>
      <w:pPr>
        <w:spacing w:line="360" w:lineRule="auto"/>
        <w:ind w:firstLine="640" w:firstLineChars="200"/>
        <w:outlineLvl w:val="2"/>
        <w:rPr>
          <w:rFonts w:ascii="仿宋_GB2312" w:hAnsi="宋体" w:eastAsia="仿宋_GB2312"/>
          <w:color w:val="000000"/>
          <w:sz w:val="32"/>
          <w:szCs w:val="32"/>
        </w:rPr>
      </w:pPr>
      <w:bookmarkStart w:id="3" w:name="_Toc76472327"/>
      <w:bookmarkStart w:id="4" w:name="_Toc105940590"/>
      <w:r>
        <w:rPr>
          <w:rFonts w:ascii="仿宋_GB2312" w:hAnsi="宋体" w:eastAsia="仿宋_GB2312"/>
          <w:color w:val="000000"/>
          <w:sz w:val="32"/>
          <w:szCs w:val="32"/>
        </w:rPr>
        <w:t xml:space="preserve">1.1  </w:t>
      </w:r>
      <w:r>
        <w:rPr>
          <w:rFonts w:hint="eastAsia" w:ascii="仿宋_GB2312" w:hAnsi="宋体" w:eastAsia="仿宋_GB2312"/>
          <w:color w:val="000000"/>
          <w:sz w:val="32"/>
          <w:szCs w:val="32"/>
        </w:rPr>
        <w:t>起草原则</w:t>
      </w:r>
      <w:bookmarkEnd w:id="3"/>
      <w:bookmarkEnd w:id="4"/>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为了规范和指导保荐人对重要事项的尽职调查工作，提高尽职调查工作质量，根据有关法律、行政法规及《保荐人尽职调查工作准则》，制定本示范实践。</w:t>
      </w:r>
    </w:p>
    <w:p>
      <w:pPr>
        <w:spacing w:line="360" w:lineRule="auto"/>
        <w:ind w:firstLine="640" w:firstLineChars="200"/>
        <w:outlineLvl w:val="2"/>
        <w:rPr>
          <w:rFonts w:ascii="仿宋_GB2312" w:hAnsi="宋体" w:eastAsia="仿宋_GB2312"/>
          <w:color w:val="000000"/>
          <w:sz w:val="32"/>
          <w:szCs w:val="32"/>
        </w:rPr>
      </w:pPr>
      <w:bookmarkStart w:id="5" w:name="_Toc76472328"/>
      <w:bookmarkStart w:id="6" w:name="_Toc105940591"/>
      <w:r>
        <w:rPr>
          <w:rFonts w:ascii="仿宋_GB2312" w:hAnsi="宋体" w:eastAsia="仿宋_GB2312"/>
          <w:color w:val="000000"/>
          <w:sz w:val="32"/>
          <w:szCs w:val="32"/>
        </w:rPr>
        <w:t xml:space="preserve">1.2  </w:t>
      </w:r>
      <w:r>
        <w:rPr>
          <w:rFonts w:hint="eastAsia" w:ascii="仿宋_GB2312" w:hAnsi="宋体" w:eastAsia="仿宋_GB2312"/>
          <w:color w:val="000000"/>
          <w:sz w:val="32"/>
          <w:szCs w:val="32"/>
        </w:rPr>
        <w:t>适用范围</w:t>
      </w:r>
      <w:bookmarkEnd w:id="5"/>
      <w:bookmarkEnd w:id="6"/>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保荐人对拟推荐境内公开发行股票、可转换债券或存托凭证等公司（以下简称“发行人”）进行的尽职调查可</w:t>
      </w:r>
      <w:r>
        <w:rPr>
          <w:rFonts w:ascii="仿宋_GB2312" w:hAnsi="宋体" w:eastAsia="仿宋_GB2312"/>
          <w:color w:val="000000" w:themeColor="text1"/>
          <w:sz w:val="32"/>
          <w:szCs w:val="32"/>
          <w14:textFill>
            <w14:solidFill>
              <w14:schemeClr w14:val="tx1"/>
            </w14:solidFill>
          </w14:textFill>
        </w:rPr>
        <w:t>适用本</w:t>
      </w:r>
      <w:r>
        <w:rPr>
          <w:rFonts w:hint="eastAsia" w:ascii="仿宋_GB2312" w:hAnsi="宋体" w:eastAsia="仿宋_GB2312"/>
          <w:color w:val="000000" w:themeColor="text1"/>
          <w:sz w:val="32"/>
          <w:szCs w:val="32"/>
          <w14:textFill>
            <w14:solidFill>
              <w14:schemeClr w14:val="tx1"/>
            </w14:solidFill>
          </w14:textFill>
        </w:rPr>
        <w:t>示范实践</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本示范实践是以保荐人对拟保荐境内</w:t>
      </w:r>
      <w:r>
        <w:rPr>
          <w:rFonts w:ascii="仿宋_GB2312" w:hAnsi="宋体" w:eastAsia="仿宋_GB2312"/>
          <w:color w:val="000000" w:themeColor="text1"/>
          <w:sz w:val="32"/>
          <w:szCs w:val="32"/>
          <w14:textFill>
            <w14:solidFill>
              <w14:schemeClr w14:val="tx1"/>
            </w14:solidFill>
          </w14:textFill>
        </w:rPr>
        <w:t>A</w:t>
      </w:r>
      <w:r>
        <w:rPr>
          <w:rFonts w:hint="eastAsia" w:ascii="仿宋_GB2312" w:hAnsi="宋体" w:eastAsia="仿宋_GB2312"/>
          <w:color w:val="000000" w:themeColor="text1"/>
          <w:sz w:val="32"/>
          <w:szCs w:val="32"/>
          <w14:textFill>
            <w14:solidFill>
              <w14:schemeClr w14:val="tx1"/>
            </w14:solidFill>
          </w14:textFill>
        </w:rPr>
        <w:t>股首次公开发行股票、存托凭证的发行人进行充分尽职调查为基础制定的一般要求。本示范实践覆盖了辅导、推荐期间以及持续督导阶段保荐人所需履行的主要职责、尽职调查过程中需要关注的事项以及可以采取的核查方法，以首次公开发行项目为基础，</w:t>
      </w:r>
    </w:p>
    <w:p>
      <w:pPr>
        <w:spacing w:line="360" w:lineRule="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保荐人可以根据发行人的板块、行业、业务、财务、融资类型等确定尽职调查范围和方法。保荐人从事北京证券交易所相关保荐业务，可以结合市场定位及相关信息披露要求，参照适用本示范实践。</w:t>
      </w:r>
    </w:p>
    <w:p>
      <w:pPr>
        <w:spacing w:line="360" w:lineRule="auto"/>
        <w:ind w:firstLine="640" w:firstLineChars="200"/>
        <w:outlineLvl w:val="2"/>
        <w:rPr>
          <w:rFonts w:ascii="仿宋_GB2312" w:hAnsi="宋体" w:eastAsia="仿宋_GB2312"/>
          <w:color w:val="000000"/>
          <w:sz w:val="32"/>
          <w:szCs w:val="32"/>
        </w:rPr>
      </w:pPr>
      <w:bookmarkStart w:id="7" w:name="_Toc76472329"/>
      <w:bookmarkStart w:id="8" w:name="_Toc105940592"/>
      <w:r>
        <w:rPr>
          <w:rFonts w:ascii="仿宋_GB2312" w:hAnsi="宋体" w:eastAsia="仿宋_GB2312"/>
          <w:color w:val="000000"/>
          <w:sz w:val="32"/>
          <w:szCs w:val="32"/>
        </w:rPr>
        <w:t xml:space="preserve">1.3  </w:t>
      </w:r>
      <w:r>
        <w:rPr>
          <w:rFonts w:hint="eastAsia" w:ascii="仿宋_GB2312" w:hAnsi="宋体" w:eastAsia="仿宋_GB2312"/>
          <w:color w:val="000000"/>
          <w:sz w:val="32"/>
          <w:szCs w:val="32"/>
        </w:rPr>
        <w:t>适用方法</w:t>
      </w:r>
      <w:bookmarkEnd w:id="7"/>
      <w:bookmarkEnd w:id="8"/>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从事保荐业务应当符合《保荐人尽职调查工作准则》等相关规定，本示范实践中提到的尽职调查方法、程序和要点以及需要取得的工作底稿，是从如何更好履行保荐人尽职调查职责的行业普遍共识中提炼的指导性建议，非强制性要求。保荐人可根据项目的具体情况来选择适用的尽职调查方法，也可以采用本示范实践中没有提到的尽职调查方法。</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根据不同个案情况，保荐人本着合理尽职调查原则，可能需要对尽职调查的任何方面进行额外调查；同样地，某些特定个案的情况可能显示无须做出本示范实践所指出的核查方式。在此情况下，并不表示保荐人未能进行合理尽职调查，法律法规、监管规定、自律规则等另有强制性规定的除外。</w:t>
      </w:r>
    </w:p>
    <w:p>
      <w:pPr>
        <w:spacing w:line="360" w:lineRule="auto"/>
        <w:ind w:firstLine="640" w:firstLineChars="200"/>
        <w:outlineLvl w:val="2"/>
        <w:rPr>
          <w:rFonts w:ascii="仿宋_GB2312" w:hAnsi="宋体" w:eastAsia="仿宋_GB2312"/>
          <w:color w:val="000000"/>
          <w:sz w:val="32"/>
          <w:szCs w:val="32"/>
        </w:rPr>
      </w:pPr>
      <w:bookmarkStart w:id="9" w:name="_Toc105940593"/>
      <w:bookmarkStart w:id="10" w:name="_Toc76472330"/>
      <w:r>
        <w:rPr>
          <w:rFonts w:ascii="仿宋_GB2312" w:hAnsi="宋体" w:eastAsia="仿宋_GB2312"/>
          <w:color w:val="000000"/>
          <w:sz w:val="32"/>
          <w:szCs w:val="32"/>
        </w:rPr>
        <w:t xml:space="preserve">1.4  </w:t>
      </w:r>
      <w:r>
        <w:rPr>
          <w:rFonts w:hint="eastAsia" w:ascii="仿宋_GB2312" w:hAnsi="宋体" w:eastAsia="仿宋_GB2312"/>
          <w:color w:val="000000"/>
          <w:sz w:val="32"/>
          <w:szCs w:val="32"/>
        </w:rPr>
        <w:t>勤勉尽责</w:t>
      </w:r>
      <w:bookmarkEnd w:id="9"/>
      <w:bookmarkEnd w:id="10"/>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w:t>
      </w:r>
      <w:r>
        <w:rPr>
          <w:rFonts w:ascii="仿宋_GB2312" w:hAnsi="宋体" w:eastAsia="仿宋_GB2312"/>
          <w:color w:val="000000" w:themeColor="text1"/>
          <w:sz w:val="32"/>
          <w:szCs w:val="32"/>
          <w14:textFill>
            <w14:solidFill>
              <w14:schemeClr w14:val="tx1"/>
            </w14:solidFill>
          </w14:textFill>
        </w:rPr>
        <w:t>从事保荐业务应当</w:t>
      </w:r>
      <w:r>
        <w:rPr>
          <w:rFonts w:hint="eastAsia" w:ascii="仿宋_GB2312" w:hAnsi="宋体" w:eastAsia="仿宋_GB2312"/>
          <w:color w:val="000000" w:themeColor="text1"/>
          <w:sz w:val="32"/>
          <w:szCs w:val="32"/>
          <w14:textFill>
            <w14:solidFill>
              <w14:schemeClr w14:val="tx1"/>
            </w14:solidFill>
          </w14:textFill>
        </w:rPr>
        <w:t>具备良好的职业道德和专业胜任能力，诚实守信，秉持勤勉尽责的工作态度，恪守独立、客观、公正、审慎的原则，按照法律法规、监管规定、自律规则的要求，做好合理、必要的尽职调查，以充分了解发行人及其面临的风险和问题，并以此为基础支撑其得出发行人符合《证券法》等法律法规及各项发行和上市条件，以及确信发行人申请文件和公开发行募集文件真实、准确、完整的结论。</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尽职调查过程中，需要发行人、实际控制人、主要股东、发行人的董事、监事和高级管理人员（以下简称“董监高”）、证券服务机构、主要客户、供应商等机构和人员的配合，如因隐私、保密或其他规定未能全面配合保荐人尽职调查的，保荐人应当采取恰当的替代尽职调查程序，并评估前述未能获取资料的受限程度整体上对尽职调查真实性的影响程度。</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保荐人还应当持续督导发行人规范运作，尽职调查过程中，如发现发行人的公司治理、内部控制等方面有重大缺陷的，应当提供专业的意见和建议，协助其规范和整改。</w:t>
      </w:r>
    </w:p>
    <w:p>
      <w:pPr>
        <w:spacing w:line="360" w:lineRule="auto"/>
        <w:ind w:firstLine="640" w:firstLineChars="200"/>
        <w:outlineLvl w:val="2"/>
        <w:rPr>
          <w:rFonts w:ascii="仿宋_GB2312" w:hAnsi="宋体" w:eastAsia="仿宋_GB2312"/>
          <w:color w:val="000000"/>
          <w:sz w:val="32"/>
          <w:szCs w:val="32"/>
        </w:rPr>
      </w:pPr>
      <w:bookmarkStart w:id="11" w:name="_Toc76472331"/>
      <w:bookmarkStart w:id="12" w:name="_Toc105940594"/>
      <w:r>
        <w:rPr>
          <w:rFonts w:ascii="仿宋_GB2312" w:hAnsi="宋体" w:eastAsia="仿宋_GB2312"/>
          <w:color w:val="000000"/>
          <w:sz w:val="32"/>
          <w:szCs w:val="32"/>
        </w:rPr>
        <w:t xml:space="preserve">1.5  </w:t>
      </w:r>
      <w:r>
        <w:rPr>
          <w:rFonts w:hint="eastAsia" w:ascii="仿宋_GB2312" w:hAnsi="宋体" w:eastAsia="仿宋_GB2312"/>
          <w:color w:val="000000"/>
          <w:sz w:val="32"/>
          <w:szCs w:val="32"/>
        </w:rPr>
        <w:t>核查验证与合理信赖</w:t>
      </w:r>
      <w:bookmarkEnd w:id="11"/>
      <w:bookmarkEnd w:id="12"/>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保荐人在履行以下审慎核查义务、进行必要调查和复核的基础上，可以合理信赖发行人申请文件、证券发行募集文件中由会计师事务所、律师事务所等证券服务机构出具专业意见的内容：</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1、全面阅读证券服务机构出具的专业意见（如审计报告、律师工作报告等）</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评估证券服务机构及参与人员的专业资质、经验、胜任能力及独立性；评估其出具专业意见的前提及假设是否公平、合理、完整，是否符合证券服务机构所在行业的工作惯例；评估其核查范围是否与其所需出具的专业意见相符，有无限制；评估其为出具专业意见获取的核查资料是否充分、可靠；评估其已履行的核查程序及取得的关键性证据是否充分、恰当，能否有效支持其出具的专业意见等</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3、保持职业怀疑、运用职业判断进行分析，并采取必要的手段进行印证，如询问证券服务机构、查阅相关文件资料、进行必要的实地走访，采取必要的补充函证、</w:t>
      </w:r>
      <w:r>
        <w:rPr>
          <w:rFonts w:ascii="仿宋_GB2312" w:hAnsi="宋体" w:eastAsia="仿宋_GB2312"/>
          <w:color w:val="000000"/>
          <w:sz w:val="32"/>
          <w:szCs w:val="32"/>
        </w:rPr>
        <w:t>抽盘</w:t>
      </w:r>
      <w:r>
        <w:rPr>
          <w:rFonts w:hint="eastAsia" w:ascii="仿宋_GB2312" w:hAnsi="宋体" w:eastAsia="仿宋_GB2312"/>
          <w:color w:val="000000"/>
          <w:sz w:val="32"/>
          <w:szCs w:val="32"/>
        </w:rPr>
        <w:t>等程序。如对证券服务机构及其签字人员出具的专业意见存有疑义的，保荐人应当要求其作出解释或者出具依据。如证券服务机构专业意见内容存在重大异常、前后重大矛盾，或者与保荐人获得的信息存在重大差异，保荐人应当进一步对有关事项进行调查、复核，并可聘请证券服务机构提供专业服务。保荐人经过审慎核查后，不能排除合理怀疑的，保荐人应当拒绝信赖证券服务机构的专业意见。保荐人有充分理由认为证券服务机构专业能力存在明显缺陷的，可以向发行人建议更换。保荐人明知证券服务机构专业意见存在重大异常、前后重大矛盾，或者与保荐人获得的信息存在重大差异，但没有采取上述措施，不能主张其属于合理信赖</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保荐人应当就其形成合理信赖的具体依据和全部工作过程制作详实的工作底稿等记录，在保荐工作报告中披露所有“重大异常”“前后重大矛盾”“重大差异”等特殊情形的确定方法、论证过程及结论，以证明其合理信赖证券服务机构专业意见具有充分、可靠的基础，不得简单复制证券服务机构的工作底稿等资料</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5、保荐人应当建立合理信赖证券服务机构的质量控制制度，充分考虑其执业风险，重点围绕前述</w:t>
      </w:r>
      <w:r>
        <w:rPr>
          <w:rFonts w:ascii="仿宋_GB2312" w:hAnsi="宋体" w:eastAsia="仿宋_GB2312"/>
          <w:color w:val="000000"/>
          <w:sz w:val="32"/>
          <w:szCs w:val="32"/>
        </w:rPr>
        <w:t>四</w:t>
      </w:r>
      <w:r>
        <w:rPr>
          <w:rFonts w:hint="eastAsia" w:ascii="仿宋_GB2312" w:hAnsi="宋体" w:eastAsia="仿宋_GB2312"/>
          <w:color w:val="000000"/>
          <w:sz w:val="32"/>
          <w:szCs w:val="32"/>
        </w:rPr>
        <w:t>个方面，明确合理信赖的标准、依据、程序等内容，并严格执行复核程序，取得能支持其形成合理信赖的充分证据。</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荐人应基于专业经验，对发行人申请文件及信息披露资料进行审慎核查，并判断证券服务机构出具的意见及所载资料是否与保荐人所知的信息存在不一致或者存在不合理或者未予关注和核查的事项，再考虑是否进一步进行尽职调查，以形成自身独立意见。</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对发行人申请文件、证券发行募集文件中没有证券服务机构及其签字人员专业意见支持的内容，保荐人应当获得充分的尽职调查证据，在对各种证据进行综合分析的基础上对发行人提供的资料和披露的内容进行独立判断，并有充分理由相信所作的判断与发行人申请文件、证券发行募集文件的内容不存在实质性差异。</w:t>
      </w:r>
    </w:p>
    <w:p>
      <w:pPr>
        <w:spacing w:line="360" w:lineRule="auto"/>
        <w:ind w:firstLine="640" w:firstLineChars="200"/>
        <w:outlineLvl w:val="2"/>
        <w:rPr>
          <w:rFonts w:ascii="仿宋_GB2312" w:hAnsi="宋体" w:eastAsia="仿宋_GB2312"/>
          <w:color w:val="000000"/>
          <w:sz w:val="32"/>
          <w:szCs w:val="32"/>
        </w:rPr>
      </w:pPr>
      <w:bookmarkStart w:id="13" w:name="_Toc105940595"/>
      <w:r>
        <w:rPr>
          <w:rFonts w:hint="eastAsia" w:ascii="仿宋_GB2312" w:hAnsi="宋体" w:eastAsia="仿宋_GB2312"/>
          <w:color w:val="000000"/>
          <w:sz w:val="32"/>
          <w:szCs w:val="32"/>
        </w:rPr>
        <w:t>1.6</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关于选聘第三方</w:t>
      </w:r>
      <w:bookmarkEnd w:id="13"/>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荐人在尽职调查工作中选聘审计、资产评估、法律顾问、财务顾问、咨询顾问等第三方提供与尽职调查有关的服务的，保荐人应恪守独立履责、勤勉尽责义务，根据法律规定和客观需要合理使用第三方服务，不得将法定职责予以外包，保荐人依法应当承担的责任不因聘请第三方而减轻或免除。保荐人需要调查第三方机构的基本情况、资质、执业记录，了解所聘请的第三方和具体参与人员是否具备执业所需要的资质，是否存在不良执业记录，保荐人应明确第三方机构和人员的具体工作内容，并复核其工作成果和结论。</w:t>
      </w:r>
    </w:p>
    <w:p>
      <w:pPr>
        <w:spacing w:line="360" w:lineRule="auto"/>
        <w:ind w:firstLine="640" w:firstLineChars="200"/>
        <w:outlineLvl w:val="2"/>
        <w:rPr>
          <w:rFonts w:ascii="仿宋_GB2312" w:hAnsi="宋体" w:eastAsia="仿宋_GB2312"/>
          <w:color w:val="000000"/>
          <w:sz w:val="32"/>
          <w:szCs w:val="32"/>
        </w:rPr>
      </w:pPr>
      <w:bookmarkStart w:id="14" w:name="_Toc76472332"/>
      <w:bookmarkStart w:id="15" w:name="_Toc105940596"/>
      <w:r>
        <w:rPr>
          <w:rFonts w:ascii="仿宋_GB2312" w:hAnsi="宋体" w:eastAsia="仿宋_GB2312"/>
          <w:color w:val="000000"/>
          <w:sz w:val="32"/>
          <w:szCs w:val="32"/>
        </w:rPr>
        <w:t>1.</w:t>
      </w:r>
      <w:r>
        <w:rPr>
          <w:rFonts w:hint="eastAsia" w:ascii="仿宋_GB2312" w:hAnsi="宋体" w:eastAsia="仿宋_GB2312"/>
          <w:color w:val="000000"/>
          <w:sz w:val="32"/>
          <w:szCs w:val="32"/>
        </w:rPr>
        <w:t>7</w:t>
      </w:r>
      <w:r>
        <w:rPr>
          <w:rFonts w:ascii="仿宋_GB2312" w:hAnsi="宋体" w:eastAsia="仿宋_GB2312"/>
          <w:color w:val="000000"/>
          <w:sz w:val="32"/>
          <w:szCs w:val="32"/>
        </w:rPr>
        <w:t xml:space="preserve">  重要性原则及重要性水平</w:t>
      </w:r>
      <w:bookmarkEnd w:id="14"/>
      <w:bookmarkEnd w:id="15"/>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保荐人应当明确自身尽职调查职责，结合发行人自身业务、财务等特点设计适合的核查程序，依据重要性原则进行合理判断，适当选取核查方式、厘定相应情形下适用的重要性水平。</w:t>
      </w:r>
    </w:p>
    <w:p>
      <w:pPr>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p>
    <w:p>
      <w:pPr>
        <w:pStyle w:val="33"/>
        <w:spacing w:before="0" w:after="0" w:line="360" w:lineRule="auto"/>
        <w:rPr>
          <w:rFonts w:ascii="仿宋_GB2312" w:hAnsi="宋体" w:eastAsia="仿宋_GB2312"/>
          <w:color w:val="000000" w:themeColor="text1"/>
          <w:sz w:val="32"/>
          <w14:textFill>
            <w14:solidFill>
              <w14:schemeClr w14:val="tx1"/>
            </w14:solidFill>
          </w14:textFill>
        </w:rPr>
      </w:pPr>
      <w:bookmarkStart w:id="16" w:name="_Toc105940597"/>
      <w:bookmarkStart w:id="17" w:name="_Toc76472333"/>
      <w:r>
        <w:rPr>
          <w:rFonts w:hint="eastAsia" w:ascii="仿宋_GB2312" w:hAnsi="宋体" w:eastAsia="仿宋_GB2312"/>
          <w:color w:val="000000" w:themeColor="text1"/>
          <w:sz w:val="32"/>
          <w14:textFill>
            <w14:solidFill>
              <w14:schemeClr w14:val="tx1"/>
            </w14:solidFill>
          </w14:textFill>
        </w:rPr>
        <w:t>第二章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辅导相关的职责和实施</w:t>
      </w:r>
      <w:bookmarkEnd w:id="16"/>
      <w:bookmarkEnd w:id="17"/>
    </w:p>
    <w:p>
      <w:pPr>
        <w:spacing w:line="360" w:lineRule="auto"/>
        <w:ind w:firstLine="640" w:firstLineChars="200"/>
        <w:outlineLvl w:val="2"/>
        <w:rPr>
          <w:rFonts w:ascii="仿宋_GB2312" w:hAnsi="宋体" w:eastAsia="仿宋_GB2312"/>
          <w:color w:val="000000"/>
          <w:sz w:val="32"/>
          <w:szCs w:val="32"/>
        </w:rPr>
      </w:pPr>
      <w:bookmarkStart w:id="18" w:name="_Toc76472334"/>
      <w:bookmarkStart w:id="19" w:name="_Toc105940598"/>
      <w:r>
        <w:rPr>
          <w:rFonts w:ascii="仿宋_GB2312" w:hAnsi="宋体" w:eastAsia="仿宋_GB2312"/>
          <w:color w:val="000000"/>
          <w:sz w:val="32"/>
          <w:szCs w:val="32"/>
        </w:rPr>
        <w:t xml:space="preserve">2.1  </w:t>
      </w:r>
      <w:r>
        <w:rPr>
          <w:rFonts w:hint="eastAsia" w:ascii="仿宋_GB2312" w:hAnsi="宋体" w:eastAsia="仿宋_GB2312"/>
          <w:color w:val="000000"/>
          <w:sz w:val="32"/>
          <w:szCs w:val="32"/>
        </w:rPr>
        <w:t>辅导工作的目标</w:t>
      </w:r>
      <w:bookmarkEnd w:id="18"/>
      <w:bookmarkEnd w:id="19"/>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首次公开发行股票公司需要经过辅导机构的辅导，并通过辅导验收后才能够进行发行上市材料的申报。辅导过程也是持续尽职调查的过程，因此辅导人员要对发行人进行持续的尽职调查，调查了解发行人情况和存在的问题，以期达到以下辅导工作的目标：</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1）辅导对象建立良好的公司治理结构；</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2）辅导对象会计基础工作规范，内部控制制度健全且被有效执行，辅导对象具备独立运营和可持续发展的能力；</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3）督促辅导对象的董事（包括独立董事）、监事和高</w:t>
      </w:r>
      <w:r>
        <w:rPr>
          <w:rFonts w:hint="eastAsia" w:ascii="仿宋_GB2312" w:hAnsi="宋体" w:eastAsia="仿宋_GB2312"/>
          <w:color w:val="000000" w:themeColor="text1"/>
          <w:sz w:val="32"/>
          <w:szCs w:val="32"/>
          <w14:textFill>
            <w14:solidFill>
              <w14:schemeClr w14:val="tx1"/>
            </w14:solidFill>
          </w14:textFill>
        </w:rPr>
        <w:t>级管理人员、持有</w:t>
      </w:r>
      <w:r>
        <w:rPr>
          <w:rFonts w:ascii="仿宋_GB2312" w:hAnsi="宋体" w:eastAsia="仿宋_GB2312"/>
          <w:color w:val="000000" w:themeColor="text1"/>
          <w:sz w:val="32"/>
          <w:szCs w:val="32"/>
          <w14:textFill>
            <w14:solidFill>
              <w14:schemeClr w14:val="tx1"/>
            </w14:solidFill>
          </w14:textFill>
        </w:rPr>
        <w:t>5%以上股份的股东和实际控制人（或者其法定代表人）全面掌握发行上市、规范运作等方面的有关法律法规、</w:t>
      </w:r>
      <w:r>
        <w:rPr>
          <w:rFonts w:hint="eastAsia" w:ascii="仿宋_GB2312" w:hAnsi="宋体" w:eastAsia="仿宋_GB2312"/>
          <w:color w:val="000000" w:themeColor="text1"/>
          <w:sz w:val="32"/>
          <w:szCs w:val="32"/>
          <w14:textFill>
            <w14:solidFill>
              <w14:schemeClr w14:val="tx1"/>
            </w14:solidFill>
          </w14:textFill>
        </w:rPr>
        <w:t>知悉</w:t>
      </w:r>
      <w:r>
        <w:rPr>
          <w:rFonts w:ascii="仿宋_GB2312" w:hAnsi="宋体" w:eastAsia="仿宋_GB2312"/>
          <w:color w:val="000000" w:themeColor="text1"/>
          <w:sz w:val="32"/>
          <w:szCs w:val="32"/>
          <w14:textFill>
            <w14:solidFill>
              <w14:schemeClr w14:val="tx1"/>
            </w14:solidFill>
          </w14:textFill>
        </w:rPr>
        <w:t>信息披露和履行承诺等方面的责任与义务，树立进入证券市场的诚信意识、自律意识和法制意识；</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中国证监会及其派出机构提出的其他辅导应达到的要求</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outlineLvl w:val="2"/>
        <w:rPr>
          <w:rFonts w:ascii="仿宋_GB2312" w:hAnsi="宋体" w:eastAsia="仿宋_GB2312"/>
          <w:color w:val="000000"/>
          <w:sz w:val="32"/>
          <w:szCs w:val="32"/>
        </w:rPr>
      </w:pPr>
      <w:bookmarkStart w:id="20" w:name="_Toc76472335"/>
      <w:bookmarkStart w:id="21" w:name="_Toc105940599"/>
      <w:r>
        <w:rPr>
          <w:rFonts w:ascii="仿宋_GB2312" w:hAnsi="宋体" w:eastAsia="仿宋_GB2312"/>
          <w:color w:val="000000"/>
          <w:sz w:val="32"/>
          <w:szCs w:val="32"/>
        </w:rPr>
        <w:t xml:space="preserve">2.2  </w:t>
      </w:r>
      <w:r>
        <w:rPr>
          <w:rFonts w:hint="eastAsia" w:ascii="仿宋_GB2312" w:hAnsi="宋体" w:eastAsia="仿宋_GB2312"/>
          <w:color w:val="000000"/>
          <w:sz w:val="32"/>
          <w:szCs w:val="32"/>
        </w:rPr>
        <w:t>保荐人参与辅导工作的职责</w:t>
      </w:r>
      <w:bookmarkEnd w:id="20"/>
      <w:bookmarkEnd w:id="21"/>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2.2.1  </w:t>
      </w:r>
      <w:r>
        <w:rPr>
          <w:rFonts w:hint="eastAsia" w:ascii="仿宋_GB2312" w:hAnsi="宋体" w:eastAsia="仿宋_GB2312"/>
          <w:color w:val="000000" w:themeColor="text1"/>
          <w:sz w:val="32"/>
          <w:szCs w:val="32"/>
          <w14:textFill>
            <w14:solidFill>
              <w14:schemeClr w14:val="tx1"/>
            </w14:solidFill>
          </w14:textFill>
        </w:rPr>
        <w:t>辅导机构通常由发行人的保荐人和证券服务机构来担任。保荐人作为辅导机构应针对每一个辅导对象成立专门的辅导小组进行辅导工作。</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2.2.2  保荐人在担任辅导机构的过程中需履行的职责如下：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1）制定完善的辅导计划和实施方案，并严格执行；</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2）督促辅导对象规范公司治理结构、会计基础工作、内部控制制度，指导辅导对象对存在的问题进行规范；</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3）引导辅导对象树立参与资本市场必备的敬畏市场、诚实守信、严格自律、遵守法制、回报社会意识；</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4）督促辅导对象及相关人员掌握发行上市、规范运作等方面的法律法规和规则、知悉信息披露和履行承诺等方面的责任、义务以及法律后果；</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5）引导辅导对象充分了解多层次资本市场各板块的特点和属性，掌握拟上市板块的定位和相关监管要求。</w:t>
      </w:r>
    </w:p>
    <w:p>
      <w:pPr>
        <w:spacing w:line="360" w:lineRule="auto"/>
        <w:ind w:firstLine="640" w:firstLineChars="200"/>
        <w:outlineLvl w:val="2"/>
        <w:rPr>
          <w:rFonts w:ascii="仿宋_GB2312" w:hAnsi="宋体" w:eastAsia="仿宋_GB2312"/>
          <w:color w:val="000000"/>
          <w:sz w:val="32"/>
          <w:szCs w:val="32"/>
        </w:rPr>
      </w:pPr>
      <w:bookmarkStart w:id="22" w:name="_Toc76472336"/>
      <w:bookmarkStart w:id="23" w:name="_Toc105940600"/>
      <w:r>
        <w:rPr>
          <w:rFonts w:ascii="仿宋_GB2312" w:hAnsi="宋体" w:eastAsia="仿宋_GB2312"/>
          <w:color w:val="000000"/>
          <w:sz w:val="32"/>
          <w:szCs w:val="32"/>
        </w:rPr>
        <w:t xml:space="preserve">2.3  </w:t>
      </w:r>
      <w:r>
        <w:rPr>
          <w:rFonts w:hint="eastAsia" w:ascii="仿宋_GB2312" w:hAnsi="宋体" w:eastAsia="仿宋_GB2312"/>
          <w:color w:val="000000"/>
          <w:sz w:val="32"/>
          <w:szCs w:val="32"/>
        </w:rPr>
        <w:t>保荐人参与辅导工作的具体工作内容</w:t>
      </w:r>
      <w:bookmarkEnd w:id="22"/>
      <w:bookmarkEnd w:id="23"/>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2.3.1  </w:t>
      </w:r>
      <w:r>
        <w:rPr>
          <w:rFonts w:hint="eastAsia" w:ascii="仿宋_GB2312" w:hAnsi="宋体" w:eastAsia="仿宋_GB2312"/>
          <w:color w:val="000000" w:themeColor="text1"/>
          <w:sz w:val="32"/>
          <w:szCs w:val="32"/>
          <w14:textFill>
            <w14:solidFill>
              <w14:schemeClr w14:val="tx1"/>
            </w14:solidFill>
          </w14:textFill>
        </w:rPr>
        <w:t>保荐人应针对发行人的具体情况，根据相关法律、法规要求，确定辅导的具体内容，制定辅导计划及实施方案。</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2.3.2  </w:t>
      </w:r>
      <w:r>
        <w:rPr>
          <w:rFonts w:hint="eastAsia" w:ascii="仿宋_GB2312" w:hAnsi="宋体" w:eastAsia="仿宋_GB2312"/>
          <w:color w:val="000000" w:themeColor="text1"/>
          <w:sz w:val="32"/>
          <w:szCs w:val="32"/>
          <w14:textFill>
            <w14:solidFill>
              <w14:schemeClr w14:val="tx1"/>
            </w14:solidFill>
          </w14:textFill>
        </w:rPr>
        <w:t>保荐人应督促辅导对象的董事（包括独立董事）、监事和高级管理人员、持有</w:t>
      </w:r>
      <w:r>
        <w:rPr>
          <w:rFonts w:ascii="仿宋_GB2312" w:hAnsi="宋体" w:eastAsia="仿宋_GB2312"/>
          <w:color w:val="000000" w:themeColor="text1"/>
          <w:sz w:val="32"/>
          <w:szCs w:val="32"/>
          <w14:textFill>
            <w14:solidFill>
              <w14:schemeClr w14:val="tx1"/>
            </w14:solidFill>
          </w14:textFill>
        </w:rPr>
        <w:t>5%以上股份的股东和实际控制人（或者其法定代表人）进行全面的法规知识学习，</w:t>
      </w:r>
      <w:r>
        <w:rPr>
          <w:rFonts w:hint="eastAsia" w:ascii="仿宋_GB2312" w:hAnsi="宋体" w:eastAsia="仿宋_GB2312"/>
          <w:color w:val="000000" w:themeColor="text1"/>
          <w:sz w:val="32"/>
          <w:szCs w:val="32"/>
          <w14:textFill>
            <w14:solidFill>
              <w14:schemeClr w14:val="tx1"/>
            </w14:solidFill>
          </w14:textFill>
        </w:rPr>
        <w:t>由辅导小组成员</w:t>
      </w:r>
      <w:r>
        <w:rPr>
          <w:rFonts w:ascii="仿宋_GB2312" w:hAnsi="宋体" w:eastAsia="仿宋_GB2312"/>
          <w:color w:val="000000" w:themeColor="text1"/>
          <w:sz w:val="32"/>
          <w:szCs w:val="32"/>
          <w14:textFill>
            <w14:solidFill>
              <w14:schemeClr w14:val="tx1"/>
            </w14:solidFill>
          </w14:textFill>
        </w:rPr>
        <w:t>或</w:t>
      </w:r>
      <w:r>
        <w:rPr>
          <w:rFonts w:hint="eastAsia" w:ascii="仿宋_GB2312" w:hAnsi="宋体" w:eastAsia="仿宋_GB2312"/>
          <w:color w:val="000000" w:themeColor="text1"/>
          <w:sz w:val="32"/>
          <w:szCs w:val="32"/>
          <w14:textFill>
            <w14:solidFill>
              <w14:schemeClr w14:val="tx1"/>
            </w14:solidFill>
          </w14:textFill>
        </w:rPr>
        <w:t>内部、</w:t>
      </w:r>
      <w:r>
        <w:rPr>
          <w:rFonts w:ascii="仿宋_GB2312" w:hAnsi="宋体" w:eastAsia="仿宋_GB2312"/>
          <w:color w:val="000000" w:themeColor="text1"/>
          <w:sz w:val="32"/>
          <w:szCs w:val="32"/>
          <w14:textFill>
            <w14:solidFill>
              <w14:schemeClr w14:val="tx1"/>
            </w14:solidFill>
          </w14:textFill>
        </w:rPr>
        <w:t>外部的专业人员进行必要的授课，确信其理解发行上市有关法律、法规和规则，知悉作为公众公司规范运作、信息披露和履行承诺等方面的责任和义务。</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2.3.3  </w:t>
      </w:r>
      <w:r>
        <w:rPr>
          <w:rFonts w:hint="eastAsia" w:ascii="仿宋_GB2312" w:hAnsi="宋体" w:eastAsia="仿宋_GB2312"/>
          <w:color w:val="000000" w:themeColor="text1"/>
          <w:sz w:val="32"/>
          <w:szCs w:val="32"/>
          <w14:textFill>
            <w14:solidFill>
              <w14:schemeClr w14:val="tx1"/>
            </w14:solidFill>
          </w14:textFill>
        </w:rPr>
        <w:t>保荐人应督促辅导对象按照有关规定初步建立符合现代企业制度要求的公司治理结构，促进辅导对象的董事（包括独立董事）、监事和高级管理人员、持有</w:t>
      </w:r>
      <w:r>
        <w:rPr>
          <w:rFonts w:ascii="仿宋_GB2312" w:hAnsi="宋体" w:eastAsia="仿宋_GB2312"/>
          <w:color w:val="000000" w:themeColor="text1"/>
          <w:sz w:val="32"/>
          <w:szCs w:val="32"/>
          <w14:textFill>
            <w14:solidFill>
              <w14:schemeClr w14:val="tx1"/>
            </w14:solidFill>
          </w14:textFill>
        </w:rPr>
        <w:t>5%以上股份的股东和实际控制人（或者其法定代表人）增强法制观念和诚信意识。</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2.3.4  保荐人应核查</w:t>
      </w:r>
      <w:r>
        <w:rPr>
          <w:rFonts w:hint="eastAsia" w:ascii="仿宋_GB2312" w:hAnsi="宋体" w:eastAsia="仿宋_GB2312"/>
          <w:color w:val="000000" w:themeColor="text1"/>
          <w:sz w:val="32"/>
          <w:szCs w:val="32"/>
          <w14:textFill>
            <w14:solidFill>
              <w14:schemeClr w14:val="tx1"/>
            </w14:solidFill>
          </w14:textFill>
        </w:rPr>
        <w:t>辅导对象在公司设立、改制重组、股权设置和转让、增资扩股、资产评估、资本验证等方面是否合法、有效，产权关系是否明晰，股权结构是否符合有关规定。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2.3.5  保荐人应督促</w:t>
      </w:r>
      <w:r>
        <w:rPr>
          <w:rFonts w:hint="eastAsia" w:ascii="仿宋_GB2312" w:hAnsi="宋体" w:eastAsia="仿宋_GB2312"/>
          <w:color w:val="000000" w:themeColor="text1"/>
          <w:sz w:val="32"/>
          <w:szCs w:val="32"/>
          <w14:textFill>
            <w14:solidFill>
              <w14:schemeClr w14:val="tx1"/>
            </w14:solidFill>
          </w14:textFill>
        </w:rPr>
        <w:t>辅导对象实现独立运营，做到业务、资产、人员、财务、机构独立完整，主营业务突出，形成核心竞争力。</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2.3.6  保荐人应核查</w:t>
      </w:r>
      <w:r>
        <w:rPr>
          <w:rFonts w:hint="eastAsia" w:ascii="仿宋_GB2312" w:hAnsi="宋体" w:eastAsia="仿宋_GB2312"/>
          <w:color w:val="000000" w:themeColor="text1"/>
          <w:sz w:val="32"/>
          <w:szCs w:val="32"/>
          <w14:textFill>
            <w14:solidFill>
              <w14:schemeClr w14:val="tx1"/>
            </w14:solidFill>
          </w14:textFill>
        </w:rPr>
        <w:t>辅导对象是否按规定妥善处置了商标、专利、土地、房屋等法律权属问题。</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2.3.7  保荐人应督促规范</w:t>
      </w:r>
      <w:r>
        <w:rPr>
          <w:rFonts w:hint="eastAsia" w:ascii="仿宋_GB2312" w:hAnsi="宋体" w:eastAsia="仿宋_GB2312"/>
          <w:color w:val="000000" w:themeColor="text1"/>
          <w:sz w:val="32"/>
          <w:szCs w:val="32"/>
          <w14:textFill>
            <w14:solidFill>
              <w14:schemeClr w14:val="tx1"/>
            </w14:solidFill>
          </w14:textFill>
        </w:rPr>
        <w:t>辅导对象同业竞争问题，以及与控股股东及其他关联方的关联交易。</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2.3.8  保荐人应督促</w:t>
      </w:r>
      <w:r>
        <w:rPr>
          <w:rFonts w:hint="eastAsia" w:ascii="仿宋_GB2312" w:hAnsi="宋体" w:eastAsia="仿宋_GB2312"/>
          <w:color w:val="000000" w:themeColor="text1"/>
          <w:sz w:val="32"/>
          <w:szCs w:val="32"/>
          <w14:textFill>
            <w14:solidFill>
              <w14:schemeClr w14:val="tx1"/>
            </w14:solidFill>
          </w14:textFill>
        </w:rPr>
        <w:t>辅导对象建立和完善规范的内部决策和控制制度，形成有效的财务、投资以及内部约束和激励制度。</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2.3.9  保荐人应督促</w:t>
      </w:r>
      <w:r>
        <w:rPr>
          <w:rFonts w:hint="eastAsia" w:ascii="仿宋_GB2312" w:hAnsi="宋体" w:eastAsia="仿宋_GB2312"/>
          <w:color w:val="000000" w:themeColor="text1"/>
          <w:sz w:val="32"/>
          <w:szCs w:val="32"/>
          <w14:textFill>
            <w14:solidFill>
              <w14:schemeClr w14:val="tx1"/>
            </w14:solidFill>
          </w14:textFill>
        </w:rPr>
        <w:t>辅导对象建立健全财务会计管理体系。</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2.3.10  保荐人应督促</w:t>
      </w:r>
      <w:r>
        <w:rPr>
          <w:rFonts w:hint="eastAsia" w:ascii="仿宋_GB2312" w:hAnsi="宋体" w:eastAsia="仿宋_GB2312"/>
          <w:color w:val="000000" w:themeColor="text1"/>
          <w:sz w:val="32"/>
          <w:szCs w:val="32"/>
          <w14:textFill>
            <w14:solidFill>
              <w14:schemeClr w14:val="tx1"/>
            </w14:solidFill>
          </w14:textFill>
        </w:rPr>
        <w:t>辅导对象设立明确的业务发展目标和未来发展计划，并制定可行的募集资金投向及其他投资项目的规划。</w:t>
      </w:r>
    </w:p>
    <w:p>
      <w:pPr>
        <w:spacing w:line="360" w:lineRule="auto"/>
        <w:ind w:firstLine="640" w:firstLineChars="200"/>
        <w:outlineLvl w:val="2"/>
        <w:rPr>
          <w:rFonts w:ascii="仿宋_GB2312" w:hAnsi="宋体" w:eastAsia="仿宋_GB2312"/>
          <w:color w:val="000000"/>
          <w:sz w:val="32"/>
          <w:szCs w:val="32"/>
        </w:rPr>
      </w:pPr>
      <w:bookmarkStart w:id="24" w:name="_Toc105940601"/>
      <w:bookmarkStart w:id="25" w:name="_Toc76472337"/>
      <w:r>
        <w:rPr>
          <w:rFonts w:ascii="仿宋_GB2312" w:hAnsi="宋体" w:eastAsia="仿宋_GB2312"/>
          <w:color w:val="000000"/>
          <w:sz w:val="32"/>
          <w:szCs w:val="32"/>
        </w:rPr>
        <w:t xml:space="preserve">2.4  </w:t>
      </w:r>
      <w:r>
        <w:rPr>
          <w:rFonts w:hint="eastAsia" w:ascii="仿宋_GB2312" w:hAnsi="宋体" w:eastAsia="仿宋_GB2312"/>
          <w:color w:val="000000"/>
          <w:sz w:val="32"/>
          <w:szCs w:val="32"/>
        </w:rPr>
        <w:t>保荐人参与辅导工作的实施程序</w:t>
      </w:r>
      <w:bookmarkEnd w:id="24"/>
      <w:bookmarkEnd w:id="25"/>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2.4.1  保荐人作为辅导机构应当充分了解辅导工作的具体要求（包括对辅导备案、辅导期间工作进展汇报、辅导工作验收等方面的具体要求），并根据上述具体要求有针对性开展辅导工作。</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2.4.2  </w:t>
      </w:r>
      <w:r>
        <w:rPr>
          <w:rFonts w:hint="eastAsia" w:ascii="仿宋_GB2312" w:hAnsi="宋体" w:eastAsia="仿宋_GB2312"/>
          <w:color w:val="000000" w:themeColor="text1"/>
          <w:sz w:val="32"/>
          <w:szCs w:val="32"/>
          <w14:textFill>
            <w14:solidFill>
              <w14:schemeClr w14:val="tx1"/>
            </w14:solidFill>
          </w14:textFill>
        </w:rPr>
        <w:t>保荐人可根据辅导对象的具体情况来确定不同阶段的辅导重点及实施手段：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1）辅导前期重点</w:t>
      </w:r>
      <w:r>
        <w:rPr>
          <w:rFonts w:hint="eastAsia" w:ascii="仿宋_GB2312" w:hAnsi="宋体" w:eastAsia="仿宋_GB2312"/>
          <w:color w:val="000000" w:themeColor="text1"/>
          <w:sz w:val="32"/>
          <w:szCs w:val="32"/>
          <w14:textFill>
            <w14:solidFill>
              <w14:schemeClr w14:val="tx1"/>
            </w14:solidFill>
          </w14:textFill>
        </w:rPr>
        <w:t>在于</w:t>
      </w:r>
      <w:r>
        <w:rPr>
          <w:rFonts w:ascii="仿宋_GB2312" w:hAnsi="宋体" w:eastAsia="仿宋_GB2312"/>
          <w:color w:val="000000" w:themeColor="text1"/>
          <w:sz w:val="32"/>
          <w:szCs w:val="32"/>
          <w14:textFill>
            <w14:solidFill>
              <w14:schemeClr w14:val="tx1"/>
            </w14:solidFill>
          </w14:textFill>
        </w:rPr>
        <w:t>摸底调查，形成辅导方案并开始实施；</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2）辅导中期重点在于集中学习和培训，诊断问题并</w:t>
      </w:r>
      <w:r>
        <w:rPr>
          <w:rFonts w:hint="eastAsia" w:ascii="仿宋_GB2312" w:hAnsi="宋体" w:eastAsia="仿宋_GB2312"/>
          <w:color w:val="000000" w:themeColor="text1"/>
          <w:sz w:val="32"/>
          <w:szCs w:val="32"/>
          <w14:textFill>
            <w14:solidFill>
              <w14:schemeClr w14:val="tx1"/>
            </w14:solidFill>
          </w14:textFill>
        </w:rPr>
        <w:t>加以解决；</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3）辅导后期重点在于完成辅导计划，进行考核评估，做好首次公开发行股票申请文件的准备工作。</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2.4.3  保荐人可采取灵活有效的辅导方式，包括组织辅导对象自学、进行集中授课与考试、问题诊断与专业咨询、中介机构协调会、经验交流会、案例分析等。保荐人和其他作为辅导成员的证券服务机构进行辅导工作应制定辅导教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2.4.4  保荐人应建立健全辅导工作底稿，并将其作为保荐工作底稿的重要组成部分。</w:t>
      </w:r>
    </w:p>
    <w:p>
      <w:pPr>
        <w:spacing w:line="360" w:lineRule="auto"/>
        <w:ind w:firstLine="640" w:firstLineChars="200"/>
        <w:outlineLvl w:val="2"/>
        <w:rPr>
          <w:rFonts w:ascii="仿宋_GB2312" w:hAnsi="宋体" w:eastAsia="仿宋_GB2312"/>
          <w:color w:val="000000"/>
          <w:sz w:val="32"/>
          <w:szCs w:val="32"/>
        </w:rPr>
      </w:pPr>
      <w:bookmarkStart w:id="26" w:name="_Toc76472338"/>
      <w:bookmarkStart w:id="27" w:name="_Toc105940602"/>
      <w:r>
        <w:rPr>
          <w:rFonts w:ascii="仿宋_GB2312" w:hAnsi="宋体" w:eastAsia="仿宋_GB2312"/>
          <w:color w:val="000000"/>
          <w:sz w:val="32"/>
          <w:szCs w:val="32"/>
        </w:rPr>
        <w:t xml:space="preserve">2.5  </w:t>
      </w:r>
      <w:r>
        <w:rPr>
          <w:rFonts w:hint="eastAsia" w:ascii="仿宋_GB2312" w:hAnsi="宋体" w:eastAsia="仿宋_GB2312"/>
          <w:color w:val="000000"/>
          <w:sz w:val="32"/>
          <w:szCs w:val="32"/>
        </w:rPr>
        <w:t>保荐人参与辅导工作需达到的效果</w:t>
      </w:r>
      <w:bookmarkEnd w:id="26"/>
      <w:bookmarkEnd w:id="27"/>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2.5.1  </w:t>
      </w:r>
      <w:r>
        <w:rPr>
          <w:rFonts w:hint="eastAsia" w:ascii="仿宋_GB2312" w:hAnsi="宋体" w:eastAsia="仿宋_GB2312"/>
          <w:color w:val="000000" w:themeColor="text1"/>
          <w:sz w:val="32"/>
          <w:szCs w:val="32"/>
          <w14:textFill>
            <w14:solidFill>
              <w14:schemeClr w14:val="tx1"/>
            </w14:solidFill>
          </w14:textFill>
        </w:rPr>
        <w:t>辅导对象应具备成为上市公众公司应有的公司治理结构、会计基础工作和内部控制制度。</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辅导对象应建立健全股东大会、董事会、监事会、独立董事、董事会秘书等公司治理制度，相关机构和人员能够依法履行职责。</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辅导对象的会计基础工作应当规范，财务报表的编制符合企业会计准则和相关会计制度的规定，在所有重大方面公允地反映发行人的财务状况、经营成果和现金流量，并由注册会计师出具无保留意见的审计报告。</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辅导对象的内部控制制度健全且被有效执行，能够合理保证财务报告的可靠性、生产经营的合法性、营运的效率与效果。若辅导对象存在财务内控不规范等情况，辅导机构应当在辅导期间，要求辅导对象对涉及财务内控不规范问题进行整改或纠正，原则上在审计基准日之前强化发行人内部控制制度建设及执行有效性检查，达到与上市公司要求一致的财务内控水平。</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2.5.2  </w:t>
      </w:r>
      <w:r>
        <w:rPr>
          <w:rFonts w:hint="eastAsia" w:ascii="仿宋_GB2312" w:hAnsi="宋体" w:eastAsia="仿宋_GB2312"/>
          <w:color w:val="000000" w:themeColor="text1"/>
          <w:sz w:val="32"/>
          <w:szCs w:val="32"/>
          <w14:textFill>
            <w14:solidFill>
              <w14:schemeClr w14:val="tx1"/>
            </w14:solidFill>
          </w14:textFill>
        </w:rPr>
        <w:t>在经过辅导机构的辅导后，辅导对象及其董事、监事、高级管理人员、持有</w:t>
      </w:r>
      <w:r>
        <w:rPr>
          <w:rFonts w:ascii="仿宋_GB2312" w:hAnsi="宋体" w:eastAsia="仿宋_GB2312"/>
          <w:color w:val="000000" w:themeColor="text1"/>
          <w:sz w:val="32"/>
          <w:szCs w:val="32"/>
          <w14:textFill>
            <w14:solidFill>
              <w14:schemeClr w14:val="tx1"/>
            </w14:solidFill>
          </w14:textFill>
        </w:rPr>
        <w:t>5%以上股份的股东和实际控制人（或</w:t>
      </w:r>
      <w:r>
        <w:rPr>
          <w:rFonts w:hint="eastAsia" w:ascii="仿宋_GB2312" w:hAnsi="宋体" w:eastAsia="仿宋_GB2312"/>
          <w:color w:val="000000" w:themeColor="text1"/>
          <w:sz w:val="32"/>
          <w:szCs w:val="32"/>
          <w14:textFill>
            <w14:solidFill>
              <w14:schemeClr w14:val="tx1"/>
            </w14:solidFill>
          </w14:textFill>
        </w:rPr>
        <w:t>者</w:t>
      </w:r>
      <w:r>
        <w:rPr>
          <w:rFonts w:ascii="仿宋_GB2312" w:hAnsi="宋体" w:eastAsia="仿宋_GB2312"/>
          <w:color w:val="000000" w:themeColor="text1"/>
          <w:sz w:val="32"/>
          <w:szCs w:val="32"/>
          <w14:textFill>
            <w14:solidFill>
              <w14:schemeClr w14:val="tx1"/>
            </w14:solidFill>
          </w14:textFill>
        </w:rPr>
        <w:t>其法定代表人）应全面掌握发行上市、规范运作等方面的法律法规和规则、知悉信息披露和履行承诺等方面的责任和义务，树立进入证券市场的诚信意识、自律意识和法制意识。</w:t>
      </w:r>
      <w:r>
        <w:rPr>
          <w:rFonts w:hint="eastAsia" w:ascii="仿宋_GB2312" w:hAnsi="宋体" w:eastAsia="仿宋_GB2312"/>
          <w:color w:val="000000" w:themeColor="text1"/>
          <w:sz w:val="32"/>
          <w:szCs w:val="32"/>
          <w14:textFill>
            <w14:solidFill>
              <w14:schemeClr w14:val="tx1"/>
            </w14:solidFill>
          </w14:textFill>
        </w:rPr>
        <w:t>持有5%以上股份股东为法人或其他形式的，应当督促其法定代表人、基金管理人的法定代表人、执行事务合伙人（或者其委派代表）等全面掌握发行上市、规范运作等方面的法律法规和规则、知悉信息披露和履行承诺等方面的责任和义务。</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p>
    <w:p>
      <w:pPr>
        <w:pStyle w:val="33"/>
        <w:spacing w:before="0" w:after="0" w:line="360" w:lineRule="auto"/>
        <w:rPr>
          <w:rFonts w:ascii="仿宋_GB2312" w:hAnsi="宋体" w:eastAsia="仿宋_GB2312"/>
          <w:color w:val="000000" w:themeColor="text1"/>
          <w:sz w:val="32"/>
          <w14:textFill>
            <w14:solidFill>
              <w14:schemeClr w14:val="tx1"/>
            </w14:solidFill>
          </w14:textFill>
        </w:rPr>
      </w:pPr>
      <w:bookmarkStart w:id="28" w:name="_Toc105940603"/>
      <w:bookmarkStart w:id="29" w:name="_Toc76472339"/>
      <w:r>
        <w:rPr>
          <w:rFonts w:hint="eastAsia" w:ascii="仿宋_GB2312" w:hAnsi="宋体" w:eastAsia="仿宋_GB2312"/>
          <w:color w:val="000000" w:themeColor="text1"/>
          <w:sz w:val="32"/>
          <w14:textFill>
            <w14:solidFill>
              <w14:schemeClr w14:val="tx1"/>
            </w14:solidFill>
          </w14:textFill>
        </w:rPr>
        <w:t>第三章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板块定位的尽职调查</w:t>
      </w:r>
      <w:bookmarkEnd w:id="28"/>
      <w:bookmarkEnd w:id="29"/>
    </w:p>
    <w:p>
      <w:pPr>
        <w:spacing w:line="360" w:lineRule="auto"/>
        <w:ind w:firstLine="640" w:firstLineChars="200"/>
        <w:outlineLvl w:val="2"/>
        <w:rPr>
          <w:rFonts w:ascii="仿宋_GB2312" w:hAnsi="宋体" w:eastAsia="仿宋_GB2312"/>
          <w:color w:val="000000"/>
          <w:sz w:val="32"/>
          <w:szCs w:val="32"/>
        </w:rPr>
      </w:pPr>
      <w:bookmarkStart w:id="30" w:name="_Toc76472340"/>
      <w:bookmarkStart w:id="31" w:name="_Toc105940604"/>
      <w:r>
        <w:rPr>
          <w:rFonts w:ascii="仿宋_GB2312" w:hAnsi="宋体" w:eastAsia="仿宋_GB2312"/>
          <w:color w:val="000000"/>
          <w:sz w:val="32"/>
          <w:szCs w:val="32"/>
        </w:rPr>
        <w:t xml:space="preserve">3.1  </w:t>
      </w:r>
      <w:r>
        <w:rPr>
          <w:rFonts w:hint="eastAsia" w:ascii="仿宋_GB2312" w:hAnsi="宋体" w:eastAsia="仿宋_GB2312"/>
          <w:color w:val="000000"/>
          <w:sz w:val="32"/>
          <w:szCs w:val="32"/>
        </w:rPr>
        <w:t>上市板块的选择</w:t>
      </w:r>
      <w:bookmarkEnd w:id="30"/>
      <w:bookmarkEnd w:id="31"/>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3.1.1  </w:t>
      </w:r>
      <w:r>
        <w:rPr>
          <w:rFonts w:hint="eastAsia" w:ascii="仿宋_GB2312" w:hAnsi="宋体" w:eastAsia="仿宋_GB2312"/>
          <w:color w:val="000000" w:themeColor="text1"/>
          <w:sz w:val="32"/>
          <w:szCs w:val="32"/>
          <w14:textFill>
            <w14:solidFill>
              <w14:schemeClr w14:val="tx1"/>
            </w14:solidFill>
          </w14:textFill>
        </w:rPr>
        <w:t>我国境内由沪深主板、科创板、创业板、北交所、新三板和区域股权市场构成定位清晰、协同互补、错位发展、有机互联的多层次资本市场格局。各板块之间具有不同定位，主板行业限制较少，上市条件较为单一；科创板强调科创属性，聚焦“硬科技”；创业板强调“三创四新”，实行行业负面清单制度；北交所主要服务创新型中小企业，重点支持先进制造业和现代服务业等领域的企业，推动传统产业转型升级，培育经济</w:t>
      </w:r>
      <w:r>
        <w:rPr>
          <w:rFonts w:ascii="仿宋_GB2312" w:hAnsi="宋体" w:eastAsia="仿宋_GB2312"/>
          <w:color w:val="000000" w:themeColor="text1"/>
          <w:sz w:val="32"/>
          <w:szCs w:val="32"/>
          <w14:textFill>
            <w14:solidFill>
              <w14:schemeClr w14:val="tx1"/>
            </w14:solidFill>
          </w14:textFill>
        </w:rPr>
        <w:t>发展新动能，促进经济高质量</w:t>
      </w:r>
      <w:r>
        <w:rPr>
          <w:rFonts w:hint="eastAsia" w:ascii="仿宋_GB2312" w:hAnsi="宋体" w:eastAsia="仿宋_GB2312"/>
          <w:color w:val="000000" w:themeColor="text1"/>
          <w:sz w:val="32"/>
          <w:szCs w:val="32"/>
          <w14:textFill>
            <w14:solidFill>
              <w14:schemeClr w14:val="tx1"/>
            </w14:solidFill>
          </w14:textFill>
        </w:rPr>
        <w:t>发</w:t>
      </w:r>
      <w:r>
        <w:rPr>
          <w:rFonts w:ascii="仿宋_GB2312" w:hAnsi="宋体" w:eastAsia="仿宋_GB2312"/>
          <w:color w:val="000000" w:themeColor="text1"/>
          <w:sz w:val="32"/>
          <w:szCs w:val="32"/>
          <w14:textFill>
            <w14:solidFill>
              <w14:schemeClr w14:val="tx1"/>
            </w14:solidFill>
          </w14:textFill>
        </w:rPr>
        <w:t>展</w:t>
      </w:r>
      <w:r>
        <w:rPr>
          <w:rFonts w:hint="eastAsia" w:ascii="仿宋_GB2312" w:hAnsi="宋体" w:eastAsia="仿宋_GB2312"/>
          <w:color w:val="000000" w:themeColor="text1"/>
          <w:sz w:val="32"/>
          <w:szCs w:val="32"/>
          <w14:textFill>
            <w14:solidFill>
              <w14:schemeClr w14:val="tx1"/>
            </w14:solidFill>
          </w14:textFill>
        </w:rPr>
        <w:t>。对于首次公开发行股票或存托凭证项目，保荐人在立项前或辅导备案前需要根据发行人的具体情况和需求与发行人一起初步协商拟上市板块，并对发行人是否符合板块定位进行初步的尽职调查和判断。</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3.1.2</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保荐人在项目辅导备案后，首发申请文件未正式报送前若拟对发行人拟上市板块进行调整的，需要根据相关规定履行相关的变更程序，并充分关注板块变更的原因是否合理和充分，以及发行人是否符合变更后的板块定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3.1.3  </w:t>
      </w:r>
      <w:r>
        <w:rPr>
          <w:rFonts w:hint="eastAsia" w:ascii="仿宋_GB2312" w:hAnsi="宋体" w:eastAsia="仿宋_GB2312"/>
          <w:color w:val="000000" w:themeColor="text1"/>
          <w:sz w:val="32"/>
          <w:szCs w:val="32"/>
          <w14:textFill>
            <w14:solidFill>
              <w14:schemeClr w14:val="tx1"/>
            </w14:solidFill>
          </w14:textFill>
        </w:rPr>
        <w:t>保荐人需要在首发申报前、在审期间和过会后上市前全过程的尽职调查过程中对于发行人是否符合相关板块定位和相关板块的上市标准进行持续关注和核查，若发行人在在审期间或过会后发行上市前通过尽职调查不再符合所选择板块的定位或相关板块的上市标准，需要及时与相关部门进行沟通和汇报，并履行相关的程序。</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3.1.4  发行人上市后，保荐人在持续督导期间需要持续关注发行人板块定位的相关事项的重大变化情况，并按照相关规定履行核查和信息披露的职责。</w:t>
      </w:r>
    </w:p>
    <w:p>
      <w:pPr>
        <w:spacing w:line="360" w:lineRule="auto"/>
        <w:ind w:firstLine="640" w:firstLineChars="200"/>
        <w:outlineLvl w:val="2"/>
        <w:rPr>
          <w:rFonts w:ascii="仿宋_GB2312" w:hAnsi="宋体" w:eastAsia="仿宋_GB2312"/>
          <w:color w:val="000000"/>
          <w:sz w:val="32"/>
          <w:szCs w:val="32"/>
        </w:rPr>
      </w:pPr>
      <w:bookmarkStart w:id="32" w:name="_Toc105940605"/>
      <w:bookmarkStart w:id="33" w:name="_Toc76472341"/>
      <w:r>
        <w:rPr>
          <w:rFonts w:ascii="仿宋_GB2312" w:hAnsi="宋体" w:eastAsia="仿宋_GB2312"/>
          <w:color w:val="000000"/>
          <w:sz w:val="32"/>
          <w:szCs w:val="32"/>
        </w:rPr>
        <w:t xml:space="preserve">3.2  </w:t>
      </w:r>
      <w:r>
        <w:rPr>
          <w:rFonts w:hint="eastAsia" w:ascii="仿宋_GB2312" w:hAnsi="宋体" w:eastAsia="仿宋_GB2312"/>
          <w:color w:val="000000"/>
          <w:sz w:val="32"/>
          <w:szCs w:val="32"/>
        </w:rPr>
        <w:t>科创板定位</w:t>
      </w:r>
      <w:bookmarkEnd w:id="32"/>
      <w:bookmarkEnd w:id="33"/>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保荐人应当就发行人是否符合科创板支持方向、是否符合相关行业领域和科创属性要求等事项进行专业判断，并出具发行人符合科创板定位的专项意见。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3.2.</w:t>
      </w:r>
      <w:r>
        <w:rPr>
          <w:rFonts w:hint="eastAsia" w:ascii="仿宋_GB2312" w:hAnsi="宋体" w:eastAsia="仿宋_GB2312"/>
          <w:color w:val="000000" w:themeColor="text1"/>
          <w:sz w:val="32"/>
          <w:szCs w:val="32"/>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核查发行人是否属于符合科创板支持方向。保荐人应核查发行人是否属于符合国家科技创新战略、拥有关键核心技术等先进技术或产品、科技创新能力突出、科技成果转化能力突出、行业地位突出或者市场认可度高等的科技创新企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属于符合国家科技创新战略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查阅《上市公司行业分类指引》《国民经济行业分类与代码》《国民经济行业分类注释》《战略性新兴产业分类（</w:t>
      </w:r>
      <w:r>
        <w:rPr>
          <w:rFonts w:ascii="仿宋_GB2312" w:hAnsi="宋体" w:eastAsia="仿宋_GB2312"/>
          <w:color w:val="000000" w:themeColor="text1"/>
          <w:sz w:val="32"/>
          <w:szCs w:val="32"/>
          <w14:textFill>
            <w14:solidFill>
              <w14:schemeClr w14:val="tx1"/>
            </w14:solidFill>
          </w14:textFill>
        </w:rPr>
        <w:t>2018）》等产业分类的规定，核查发行人所属行业的划分依据</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pPr>
      <w:r>
        <w:rPr>
          <w:rFonts w:ascii="仿宋_GB2312" w:hAnsi="宋体" w:eastAsia="仿宋_GB2312"/>
          <w:color w:val="000000" w:themeColor="text1"/>
          <w:sz w:val="32"/>
          <w:szCs w:val="32"/>
          <w14:textFill>
            <w14:solidFill>
              <w14:schemeClr w14:val="tx1"/>
            </w14:solidFill>
          </w14:textFill>
        </w:rPr>
        <w:t>查阅</w:t>
      </w:r>
      <w:r>
        <w:rPr>
          <w:rFonts w:hint="eastAsia" w:ascii="仿宋_GB2312" w:hAnsi="宋体" w:eastAsia="仿宋_GB2312"/>
          <w:color w:val="000000" w:themeColor="text1"/>
          <w:sz w:val="32"/>
          <w:szCs w:val="32"/>
          <w14:textFill>
            <w14:solidFill>
              <w14:schemeClr w14:val="tx1"/>
            </w14:solidFill>
          </w14:textFill>
        </w:rPr>
        <w:t>发行人所属行业的产业</w:t>
      </w:r>
      <w:r>
        <w:rPr>
          <w:rFonts w:ascii="仿宋_GB2312" w:hAnsi="宋体" w:eastAsia="仿宋_GB2312"/>
          <w:color w:val="000000" w:themeColor="text1"/>
          <w:sz w:val="32"/>
          <w:szCs w:val="32"/>
          <w14:textFill>
            <w14:solidFill>
              <w14:schemeClr w14:val="tx1"/>
            </w14:solidFill>
          </w14:textFill>
        </w:rPr>
        <w:t>相关政策性</w:t>
      </w:r>
      <w:r>
        <w:rPr>
          <w:rFonts w:hint="eastAsia" w:ascii="仿宋_GB2312" w:hAnsi="宋体" w:eastAsia="仿宋_GB2312"/>
          <w:color w:val="000000" w:themeColor="text1"/>
          <w:sz w:val="32"/>
          <w:szCs w:val="32"/>
          <w14:textFill>
            <w14:solidFill>
              <w14:schemeClr w14:val="tx1"/>
            </w14:solidFill>
          </w14:textFill>
        </w:rPr>
        <w:t>、行业研究报告和主要竞争对手公开披露的信息</w:t>
      </w:r>
      <w:r>
        <w:rPr>
          <w:rFonts w:ascii="仿宋_GB2312" w:hAnsi="宋体" w:eastAsia="仿宋_GB2312"/>
          <w:color w:val="000000" w:themeColor="text1"/>
          <w:sz w:val="32"/>
          <w:szCs w:val="32"/>
          <w14:textFill>
            <w14:solidFill>
              <w14:schemeClr w14:val="tx1"/>
            </w14:solidFill>
          </w14:textFill>
        </w:rPr>
        <w:t>，核查发行人</w:t>
      </w:r>
      <w:r>
        <w:rPr>
          <w:rFonts w:hint="eastAsia" w:ascii="仿宋_GB2312" w:hAnsi="宋体" w:eastAsia="仿宋_GB2312"/>
          <w:color w:val="000000" w:themeColor="text1"/>
          <w:sz w:val="32"/>
          <w:szCs w:val="32"/>
          <w14:textFill>
            <w14:solidFill>
              <w14:schemeClr w14:val="tx1"/>
            </w14:solidFill>
          </w14:textFill>
        </w:rPr>
        <w:t>所属行业</w:t>
      </w:r>
      <w:r>
        <w:rPr>
          <w:rFonts w:ascii="仿宋_GB2312" w:hAnsi="宋体" w:eastAsia="仿宋_GB2312"/>
          <w:color w:val="000000" w:themeColor="text1"/>
          <w:sz w:val="32"/>
          <w:szCs w:val="32"/>
          <w14:textFill>
            <w14:solidFill>
              <w14:schemeClr w14:val="tx1"/>
            </w14:solidFill>
          </w14:textFill>
        </w:rPr>
        <w:t>领域支持的发展方向是否符合国家科技创新战略；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查阅相关的政府主管部门网站及相关行业政策，核查发行人的相关产品是否在</w:t>
      </w:r>
      <w:r>
        <w:rPr>
          <w:rFonts w:hint="eastAsia" w:ascii="仿宋_GB2312" w:hAnsi="宋体" w:eastAsia="仿宋_GB2312"/>
          <w:color w:val="000000" w:themeColor="text1"/>
          <w:sz w:val="32"/>
          <w:szCs w:val="32"/>
          <w14:textFill>
            <w14:solidFill>
              <w14:schemeClr w14:val="tx1"/>
            </w14:solidFill>
          </w14:textFill>
        </w:rPr>
        <w:t>国家发改委、工信部、科技部等相关部委文件中有明确列示，是否具有重要作用或地位（如适用）。</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（2）拥有关键核心技术等先进技术或产品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查阅发行人所属行业的产业政策、行业研究报告、期刊杂志以及主要竞争对手公开披露的信息，与发行人管理层、核心技术人员、客户或供应商访谈，了解发行人核心技术是否在国际和国内具有原创性、前沿性和引领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通过获取发行人核心技术的相关奖项证书、研究项目、研究课题及研究成果，咨询行业专家等方式，核查发行人的技术或产品是否属于关键核心技术；</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获取发行人报告期内知识产权清单及相关权利证书，通过国家知识产权局的官方网站、中国裁判文书网等相关网站查询发行人所拥有的技术是否存在权属纠纷；</w:t>
      </w:r>
    </w:p>
    <w:p>
      <w:pPr>
        <w:spacing w:line="360" w:lineRule="auto"/>
        <w:ind w:firstLine="640" w:firstLineChars="200"/>
        <w:rPr>
          <w:rFonts w:hAnsi="宋体"/>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访谈发行人主要下游客户，通过下游客户对发行人技术和产品的评价侧面了解发行人核心技术和产品是否拥有关键技术。</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GB"/>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科技创新能力突出、科技成果转化能力突出</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查阅行业研究报告及同行业公司公开披露的信息，</w:t>
      </w:r>
      <w:r>
        <w:rPr>
          <w:rFonts w:hint="eastAsia" w:ascii="仿宋_GB2312" w:hAnsi="宋体" w:eastAsia="仿宋_GB2312"/>
          <w:color w:val="000000" w:themeColor="text1"/>
          <w:sz w:val="32"/>
          <w:szCs w:val="32"/>
          <w14:textFill>
            <w14:solidFill>
              <w14:schemeClr w14:val="tx1"/>
            </w14:solidFill>
          </w14:textFill>
        </w:rPr>
        <w:t>了解发行人的技术在境内与境外发展水平中所处的位置和在所属细分行业领域的排名情况，保持技术不断创新的机制、安排和技术储备，发行人取得的研发进展及其成果、获得的专业资质和重要奖项等情况，核查发行人的科技创新能力；</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获得与发行人核心技术相关的《技术查新报告》，了解发行人所拥有技术的创新性；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查阅</w:t>
      </w:r>
      <w:r>
        <w:rPr>
          <w:rFonts w:ascii="仿宋_GB2312" w:hAnsi="宋体" w:eastAsia="仿宋_GB2312"/>
          <w:color w:val="000000" w:themeColor="text1"/>
          <w:sz w:val="32"/>
          <w:szCs w:val="32"/>
          <w14:textFill>
            <w14:solidFill>
              <w14:schemeClr w14:val="tx1"/>
            </w14:solidFill>
          </w14:textFill>
        </w:rPr>
        <w:t>发行人研发队伍的资质、学历、专业背景，并核查研发队伍的年龄结构</w:t>
      </w:r>
      <w:r>
        <w:rPr>
          <w:rFonts w:hint="eastAsia" w:ascii="仿宋_GB2312" w:hAnsi="宋体" w:eastAsia="仿宋_GB2312"/>
          <w:color w:val="000000" w:themeColor="text1"/>
          <w:sz w:val="32"/>
          <w:szCs w:val="32"/>
          <w14:textFill>
            <w14:solidFill>
              <w14:schemeClr w14:val="tx1"/>
            </w14:solidFill>
          </w14:textFill>
        </w:rPr>
        <w:t>以及研发费用明细账，了解发行人在研发人员数量、结构及研发投入与同行业公司相比是否符合其行业地位；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通过与同行业公司进行对比分析，了解</w:t>
      </w:r>
      <w:r>
        <w:rPr>
          <w:rFonts w:ascii="仿宋_GB2312" w:hAnsi="宋体" w:eastAsia="仿宋_GB2312"/>
          <w:color w:val="000000" w:themeColor="text1"/>
          <w:sz w:val="32"/>
          <w:szCs w:val="32"/>
          <w14:textFill>
            <w14:solidFill>
              <w14:schemeClr w14:val="tx1"/>
            </w14:solidFill>
          </w14:textFill>
        </w:rPr>
        <w:t>发行人核心技术及产品的相关指标</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与同行业</w:t>
      </w:r>
      <w:r>
        <w:rPr>
          <w:rFonts w:hint="eastAsia" w:ascii="仿宋_GB2312" w:hAnsi="宋体" w:eastAsia="仿宋_GB2312"/>
          <w:color w:val="000000" w:themeColor="text1"/>
          <w:sz w:val="32"/>
          <w:szCs w:val="32"/>
          <w14:textFill>
            <w14:solidFill>
              <w14:schemeClr w14:val="tx1"/>
            </w14:solidFill>
          </w14:textFill>
        </w:rPr>
        <w:t>公司相比在先进性方面的</w:t>
      </w:r>
      <w:r>
        <w:rPr>
          <w:rFonts w:ascii="仿宋_GB2312" w:hAnsi="宋体" w:eastAsia="仿宋_GB2312"/>
          <w:color w:val="000000" w:themeColor="text1"/>
          <w:sz w:val="32"/>
          <w:szCs w:val="32"/>
          <w14:textFill>
            <w14:solidFill>
              <w14:schemeClr w14:val="tx1"/>
            </w14:solidFill>
          </w14:textFill>
        </w:rPr>
        <w:t>具体表征</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科技成果转化能力突出的核查方法可以参见3</w:t>
      </w:r>
      <w:r>
        <w:rPr>
          <w:rFonts w:ascii="仿宋_GB2312" w:hAnsi="宋体" w:eastAsia="仿宋_GB2312"/>
          <w:color w:val="000000" w:themeColor="text1"/>
          <w:sz w:val="32"/>
          <w:szCs w:val="32"/>
          <w14:textFill>
            <w14:solidFill>
              <w14:schemeClr w14:val="tx1"/>
            </w14:solidFill>
          </w14:textFill>
        </w:rPr>
        <w:t>.2.3</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lang w:val="en-GB"/>
          <w14:textFill>
            <w14:solidFill>
              <w14:schemeClr w14:val="tx1"/>
            </w14:solidFill>
          </w14:textFill>
        </w:rPr>
      </w:pPr>
      <w:r>
        <w:rPr>
          <w:rFonts w:hint="eastAsia" w:ascii="仿宋_GB2312" w:hAnsi="宋体" w:eastAsia="仿宋_GB2312"/>
          <w:color w:val="000000" w:themeColor="text1"/>
          <w:sz w:val="32"/>
          <w:szCs w:val="32"/>
          <w:lang w:val="en-GB"/>
          <w14:textFill>
            <w14:solidFill>
              <w14:schemeClr w14:val="tx1"/>
            </w14:solidFill>
          </w14:textFill>
        </w:rPr>
        <w:t>（</w:t>
      </w:r>
      <w:r>
        <w:rPr>
          <w:rFonts w:ascii="仿宋_GB2312" w:hAnsi="宋体" w:eastAsia="仿宋_GB2312"/>
          <w:color w:val="000000" w:themeColor="text1"/>
          <w:sz w:val="32"/>
          <w:szCs w:val="32"/>
          <w:lang w:val="en-GB"/>
          <w14:textFill>
            <w14:solidFill>
              <w14:schemeClr w14:val="tx1"/>
            </w14:solidFill>
          </w14:textFill>
        </w:rPr>
        <w:t>4</w:t>
      </w:r>
      <w:r>
        <w:rPr>
          <w:rFonts w:hint="eastAsia" w:ascii="仿宋_GB2312" w:hAnsi="宋体" w:eastAsia="仿宋_GB2312"/>
          <w:color w:val="000000" w:themeColor="text1"/>
          <w:sz w:val="32"/>
          <w:szCs w:val="32"/>
          <w:lang w:val="en-GB"/>
          <w14:textFill>
            <w14:solidFill>
              <w14:schemeClr w14:val="tx1"/>
            </w14:solidFill>
          </w14:textFill>
        </w:rPr>
        <w:t>）行业地位突出或者市场认可度高</w:t>
      </w:r>
    </w:p>
    <w:p>
      <w:pPr>
        <w:spacing w:line="360" w:lineRule="auto"/>
        <w:ind w:firstLine="640" w:firstLineChars="200"/>
        <w:rPr>
          <w:rFonts w:ascii="仿宋_GB2312" w:hAnsi="宋体" w:eastAsia="仿宋_GB2312"/>
          <w:color w:val="000000" w:themeColor="text1"/>
          <w:sz w:val="32"/>
          <w:szCs w:val="32"/>
          <w:lang w:val="en-GB"/>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查阅行业研究报告、主要竞争对手公开披露的信息、专业第三方出具的报告以及取得行业协会或专家的意见</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从技术、产能、产量、销量等多个方面了解发行人是否</w:t>
      </w:r>
      <w:r>
        <w:rPr>
          <w:rFonts w:hint="eastAsia" w:ascii="仿宋_GB2312" w:hAnsi="宋体" w:eastAsia="仿宋_GB2312"/>
          <w:color w:val="000000" w:themeColor="text1"/>
          <w:sz w:val="32"/>
          <w:szCs w:val="32"/>
          <w:lang w:val="en-GB"/>
          <w14:textFill>
            <w14:solidFill>
              <w14:schemeClr w14:val="tx1"/>
            </w14:solidFill>
          </w14:textFill>
        </w:rPr>
        <w:t>行业地位突出或者市场认可度高；</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访谈主要客户及供应商，了解发行人产品的具体生产及应用情况、发行人所处行业上下游的经营情况以及发行人产品的质量情况、市场口碑</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认可度</w:t>
      </w:r>
      <w:r>
        <w:rPr>
          <w:rFonts w:hint="eastAsia" w:ascii="仿宋_GB2312" w:hAnsi="宋体" w:eastAsia="仿宋_GB2312"/>
          <w:color w:val="000000" w:themeColor="text1"/>
          <w:sz w:val="32"/>
          <w:szCs w:val="32"/>
          <w14:textFill>
            <w14:solidFill>
              <w14:schemeClr w14:val="tx1"/>
            </w14:solidFill>
          </w14:textFill>
        </w:rPr>
        <w:t>和未来的市场容量和发展前景</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3.2.</w:t>
      </w:r>
      <w:r>
        <w:rPr>
          <w:rFonts w:hint="eastAsia" w:ascii="仿宋_GB2312" w:hAnsi="宋体" w:eastAsia="仿宋_GB2312"/>
          <w:color w:val="000000" w:themeColor="text1"/>
          <w:sz w:val="32"/>
          <w:szCs w:val="32"/>
          <w14:textFill>
            <w14:solidFill>
              <w14:schemeClr w14:val="tx1"/>
            </w14:solidFill>
          </w14:textFill>
        </w:rPr>
        <w:t>2</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核查发行人是否符合</w:t>
      </w:r>
      <w:r>
        <w:rPr>
          <w:rFonts w:ascii="仿宋_GB2312" w:hAnsi="宋体" w:eastAsia="仿宋_GB2312"/>
          <w:color w:val="000000" w:themeColor="text1"/>
          <w:sz w:val="32"/>
          <w:szCs w:val="32"/>
          <w14:textFill>
            <w14:solidFill>
              <w14:schemeClr w14:val="tx1"/>
            </w14:solidFill>
          </w14:textFill>
        </w:rPr>
        <w:t>《上海证券交易所科创板企业发行上市申报及推荐暂行规定》</w:t>
      </w:r>
      <w:r>
        <w:rPr>
          <w:rFonts w:hint="eastAsia" w:ascii="仿宋_GB2312" w:hAnsi="宋体" w:eastAsia="仿宋_GB2312"/>
          <w:color w:val="000000" w:themeColor="text1"/>
          <w:sz w:val="32"/>
          <w:szCs w:val="32"/>
          <w14:textFill>
            <w14:solidFill>
              <w14:schemeClr w14:val="tx1"/>
            </w14:solidFill>
          </w14:textFill>
        </w:rPr>
        <w:t>等规定所列行业领域。保荐人应参考国家高新技术产业和战略性新兴产业规划及政策，判断发行人所属行业领域范围及相关领域技术产品先进性；结合发行人技术产品对应的营业收入情况，判断相关行业领域划分的理由和依据是否充分；并严格核查发行人是否属于科创板限制、禁止的行业领域。对于未归入六大行业领域的“其他领域”，保荐人应检索是否有国家政策文件明确支持发行人的技术产品，结合科创板支持方向、发行人技术产品实际情况充分论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3.2.</w:t>
      </w:r>
      <w:r>
        <w:rPr>
          <w:rFonts w:hint="eastAsia" w:ascii="仿宋_GB2312" w:hAnsi="宋体" w:eastAsia="仿宋_GB2312"/>
          <w:color w:val="000000" w:themeColor="text1"/>
          <w:sz w:val="32"/>
          <w:szCs w:val="32"/>
          <w14:textFill>
            <w14:solidFill>
              <w14:schemeClr w14:val="tx1"/>
            </w14:solidFill>
          </w14:textFill>
        </w:rPr>
        <w:t>3</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核查发行人技术产品商业化应用情况。保荐人应核查发行人技术产品的商业化应用领域是否符合国家产业政策、商业化应用范围及其前景、取得的收入及其增长潜力，以及相关技术产品的研发应用是否符合国家安全、反垄断、特定行业数据安全、科技伦理等相关国家法律法规和产业政策。</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了解发行人经营模式、核心技术产业化情况以及发展规划，了解发行人技术先进性、模式创新性、研发技术产业化情况以及未来发展战略、科研成果与产业深度融合等具体情况。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访谈发行人管理层及研发部门负责人，</w:t>
      </w:r>
      <w:r>
        <w:rPr>
          <w:rFonts w:hint="eastAsia" w:ascii="仿宋_GB2312" w:hAnsi="宋体" w:eastAsia="仿宋_GB2312"/>
          <w:color w:val="000000" w:themeColor="text1"/>
          <w:sz w:val="32"/>
          <w:szCs w:val="32"/>
          <w14:textFill>
            <w14:solidFill>
              <w14:schemeClr w14:val="tx1"/>
            </w14:solidFill>
          </w14:textFill>
        </w:rPr>
        <w:t>询问核心技术、专利等知识产权的形成过程、具体内容及应用领域，与发行人产品的对应关系、在主营业务中的体现和作用，</w:t>
      </w:r>
      <w:r>
        <w:rPr>
          <w:rFonts w:ascii="仿宋_GB2312" w:hAnsi="宋体" w:eastAsia="仿宋_GB2312"/>
          <w:color w:val="000000" w:themeColor="text1"/>
          <w:sz w:val="32"/>
          <w:szCs w:val="32"/>
          <w14:textFill>
            <w14:solidFill>
              <w14:schemeClr w14:val="tx1"/>
            </w14:solidFill>
          </w14:textFill>
        </w:rPr>
        <w:t>核查发行人</w:t>
      </w:r>
      <w:r>
        <w:rPr>
          <w:rFonts w:hint="eastAsia" w:ascii="仿宋_GB2312" w:hAnsi="宋体" w:eastAsia="仿宋_GB2312"/>
          <w:color w:val="000000" w:themeColor="text1"/>
          <w:sz w:val="32"/>
          <w:szCs w:val="32"/>
          <w14:textFill>
            <w14:solidFill>
              <w14:schemeClr w14:val="tx1"/>
            </w14:solidFill>
          </w14:textFill>
        </w:rPr>
        <w:t>核心技术和知识产权</w:t>
      </w:r>
      <w:r>
        <w:rPr>
          <w:rFonts w:ascii="仿宋_GB2312" w:hAnsi="宋体" w:eastAsia="仿宋_GB2312"/>
          <w:color w:val="000000" w:themeColor="text1"/>
          <w:sz w:val="32"/>
          <w:szCs w:val="32"/>
          <w14:textFill>
            <w14:solidFill>
              <w14:schemeClr w14:val="tx1"/>
            </w14:solidFill>
          </w14:textFill>
        </w:rPr>
        <w:t>形成主营业务收入的</w:t>
      </w:r>
      <w:r>
        <w:rPr>
          <w:rFonts w:hint="eastAsia" w:ascii="仿宋_GB2312" w:hAnsi="宋体" w:eastAsia="仿宋_GB2312"/>
          <w:color w:val="000000" w:themeColor="text1"/>
          <w:sz w:val="32"/>
          <w:szCs w:val="32"/>
          <w14:textFill>
            <w14:solidFill>
              <w14:schemeClr w14:val="tx1"/>
            </w14:solidFill>
          </w14:textFill>
        </w:rPr>
        <w:t>情况和产业化情况。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3.2.4  </w:t>
      </w:r>
      <w:r>
        <w:rPr>
          <w:rFonts w:hint="eastAsia" w:ascii="仿宋_GB2312" w:hAnsi="宋体" w:eastAsia="仿宋_GB2312"/>
          <w:color w:val="000000" w:themeColor="text1"/>
          <w:sz w:val="32"/>
          <w:szCs w:val="32"/>
          <w14:textFill>
            <w14:solidFill>
              <w14:schemeClr w14:val="tx1"/>
            </w14:solidFill>
          </w14:textFill>
        </w:rPr>
        <w:t>核查发行人是否</w:t>
      </w:r>
      <w:r>
        <w:rPr>
          <w:rFonts w:ascii="仿宋_GB2312" w:hAnsi="宋体" w:eastAsia="仿宋_GB2312"/>
          <w:color w:val="000000" w:themeColor="text1"/>
          <w:sz w:val="32"/>
          <w:szCs w:val="32"/>
          <w14:textFill>
            <w14:solidFill>
              <w14:schemeClr w14:val="tx1"/>
            </w14:solidFill>
          </w14:textFill>
        </w:rPr>
        <w:t>符合《上海证券交易所科创板企业发行上市申报及推荐暂行规定》</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科创指标</w:t>
      </w:r>
      <w:r>
        <w:rPr>
          <w:rFonts w:hint="eastAsia" w:ascii="仿宋_GB2312" w:hAnsi="宋体" w:eastAsia="仿宋_GB2312"/>
          <w:color w:val="000000" w:themeColor="text1"/>
          <w:sz w:val="32"/>
          <w:szCs w:val="32"/>
          <w14:textFill>
            <w14:solidFill>
              <w14:schemeClr w14:val="tx1"/>
            </w14:solidFill>
          </w14:textFill>
        </w:rPr>
        <w:t>要求</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保荐人应核查发行人</w:t>
      </w:r>
      <w:r>
        <w:rPr>
          <w:rFonts w:ascii="仿宋_GB2312" w:hAnsi="宋体" w:eastAsia="仿宋_GB2312"/>
          <w:color w:val="000000" w:themeColor="text1"/>
          <w:sz w:val="32"/>
          <w:szCs w:val="32"/>
          <w14:textFill>
            <w14:solidFill>
              <w14:schemeClr w14:val="tx1"/>
            </w14:solidFill>
          </w14:textFill>
        </w:rPr>
        <w:t>所选择的科创属性相关具体指标，</w:t>
      </w:r>
      <w:r>
        <w:rPr>
          <w:rFonts w:hint="eastAsia" w:ascii="仿宋_GB2312" w:hAnsi="宋体" w:eastAsia="仿宋_GB2312"/>
          <w:color w:val="000000" w:themeColor="text1"/>
          <w:sz w:val="32"/>
          <w:szCs w:val="32"/>
          <w14:textFill>
            <w14:solidFill>
              <w14:schemeClr w14:val="tx1"/>
            </w14:solidFill>
          </w14:textFill>
        </w:rPr>
        <w:t>确保发行人</w:t>
      </w:r>
      <w:r>
        <w:rPr>
          <w:rFonts w:ascii="仿宋_GB2312" w:hAnsi="宋体" w:eastAsia="仿宋_GB2312"/>
          <w:color w:val="000000" w:themeColor="text1"/>
          <w:sz w:val="32"/>
          <w:szCs w:val="32"/>
          <w14:textFill>
            <w14:solidFill>
              <w14:schemeClr w14:val="tx1"/>
            </w14:solidFill>
          </w14:textFill>
        </w:rPr>
        <w:t>符合该项指标的具体情况、计算基础和计算方法。</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1）取得申报会计师出具的审计报告，了解发行人研发支出水平。查阅发行人报告期内研发费用明细账、研发项目立项文件及研发进度资料，对发行人研发费用归集、分配、付款等情况进行复核</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核查研发费用支出的真实性及列报的准确性</w:t>
      </w:r>
      <w:r>
        <w:rPr>
          <w:rFonts w:hint="eastAsia" w:ascii="仿宋_GB2312" w:hAnsi="宋体" w:eastAsia="仿宋_GB2312"/>
          <w:color w:val="000000" w:themeColor="text1"/>
          <w:sz w:val="32"/>
          <w:szCs w:val="32"/>
          <w14:textFill>
            <w14:solidFill>
              <w14:schemeClr w14:val="tx1"/>
            </w14:solidFill>
          </w14:textFill>
        </w:rPr>
        <w:t>。查阅发行人研发人员员工花名册、劳动合同、研发工时统计表，就研发人员认定进行复核，就发行人研发人员占比进行重新计算；</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2）查阅发行人拥有的发明专利清单及证书，</w:t>
      </w:r>
      <w:r>
        <w:rPr>
          <w:rFonts w:hint="eastAsia" w:ascii="仿宋_GB2312" w:hAnsi="宋体" w:eastAsia="仿宋_GB2312"/>
          <w:color w:val="000000" w:themeColor="text1"/>
          <w:sz w:val="32"/>
          <w:szCs w:val="32"/>
          <w14:textFill>
            <w14:solidFill>
              <w14:schemeClr w14:val="tx1"/>
            </w14:solidFill>
          </w14:textFill>
        </w:rPr>
        <w:t>核查发明专利取得时间、取得方式、发明专利与主营业务的关系，</w:t>
      </w:r>
      <w:r>
        <w:rPr>
          <w:rFonts w:ascii="仿宋_GB2312" w:hAnsi="宋体" w:eastAsia="仿宋_GB2312"/>
          <w:color w:val="000000" w:themeColor="text1"/>
          <w:sz w:val="32"/>
          <w:szCs w:val="32"/>
          <w14:textFill>
            <w14:solidFill>
              <w14:schemeClr w14:val="tx1"/>
            </w14:solidFill>
          </w14:textFill>
        </w:rPr>
        <w:t>访谈发行人管理层，了解各项发明专利在经营过程中的使用情况及对发行人形成主营业务收入的发明专利数量情况</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3）关于营业收入复合增长率和金额，结合销售收入</w:t>
      </w:r>
      <w:r>
        <w:rPr>
          <w:rFonts w:hint="eastAsia" w:ascii="仿宋_GB2312" w:hAnsi="宋体" w:eastAsia="仿宋_GB2312"/>
          <w:color w:val="000000" w:themeColor="text1"/>
          <w:sz w:val="32"/>
          <w:szCs w:val="32"/>
          <w14:textFill>
            <w14:solidFill>
              <w14:schemeClr w14:val="tx1"/>
            </w14:solidFill>
          </w14:textFill>
        </w:rPr>
        <w:t>的尽调程序，复核发行人营业收入复合增长率和金额是否符合科创属性的指标要求；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4）关于核心技术经国家主管部门认定具有国际领先、</w:t>
      </w:r>
      <w:r>
        <w:rPr>
          <w:rFonts w:hint="eastAsia" w:ascii="仿宋_GB2312" w:hAnsi="宋体" w:eastAsia="仿宋_GB2312"/>
          <w:color w:val="000000" w:themeColor="text1"/>
          <w:sz w:val="32"/>
          <w:szCs w:val="32"/>
          <w14:textFill>
            <w14:solidFill>
              <w14:schemeClr w14:val="tx1"/>
            </w14:solidFill>
          </w14:textFill>
        </w:rPr>
        <w:t>引领作用的，获取国家主管部门技术鉴证相关文件；确认相关鉴证单位是否具有科技成果</w:t>
      </w:r>
      <w:r>
        <w:rPr>
          <w:rFonts w:ascii="仿宋_GB2312" w:hAnsi="宋体" w:eastAsia="仿宋_GB2312"/>
          <w:color w:val="000000" w:themeColor="text1"/>
          <w:sz w:val="32"/>
          <w:szCs w:val="32"/>
          <w14:textFill>
            <w14:solidFill>
              <w14:schemeClr w14:val="tx1"/>
            </w14:solidFill>
          </w14:textFill>
        </w:rPr>
        <w:t>/技术水平鉴定职能；查阅国家主管部门相关认定的法律法规、实施细则和办法；查阅发行人申请认定的相关资料；查看相关的国家产业发展规划政策核实发行人所在领域是否符合国家科技创新战略；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5）作为主要参与单位或者核心技术人员作为主要参与人员，获得国家自然科学奖、国家科技进步奖、国家技术发明奖，并将相关技术运用于主营业务</w:t>
      </w:r>
      <w:r>
        <w:rPr>
          <w:rFonts w:hint="eastAsia" w:ascii="仿宋_GB2312" w:hAnsi="宋体" w:eastAsia="仿宋_GB2312"/>
          <w:color w:val="000000" w:themeColor="text1"/>
          <w:sz w:val="32"/>
          <w:szCs w:val="32"/>
          <w14:textFill>
            <w14:solidFill>
              <w14:schemeClr w14:val="tx1"/>
            </w14:solidFill>
          </w14:textFill>
        </w:rPr>
        <w:t>的，获取发行人的相关证书，从公开信息核实获奖情况，访谈发行人核心技术人员，了解发行人</w:t>
      </w:r>
      <w:r>
        <w:rPr>
          <w:rFonts w:ascii="仿宋_GB2312" w:hAnsi="宋体" w:eastAsia="仿宋_GB2312"/>
          <w:color w:val="000000" w:themeColor="text1"/>
          <w:sz w:val="32"/>
          <w:szCs w:val="32"/>
          <w14:textFill>
            <w14:solidFill>
              <w14:schemeClr w14:val="tx1"/>
            </w14:solidFill>
          </w14:textFill>
        </w:rPr>
        <w:t>/核心技术人员对获奖技术的贡献、产业化程度与发行人主营业务的关系等信息；</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关于独立或者牵头承担与主营业务和核心技术相关的“国家重大科技专项”项目，查询公开资料核查发行人“国家重大科技专项”项目立项是否符合国家重大科技专项的政策、文件、规则、通知等规定；查阅发行人科技重大专项立项文件、课题验收文件、科学技术成果鉴定证书、专利证书、公开发表的论文等；获取发行人研发费用投入明细资料等，核查发行人重大科技专项中研发投入、人员的情况；访谈相关研发人员</w:t>
      </w:r>
      <w:r>
        <w:rPr>
          <w:rFonts w:hint="eastAsia" w:ascii="仿宋_GB2312" w:hAnsi="宋体" w:eastAsia="仿宋_GB2312"/>
          <w:color w:val="000000" w:themeColor="text1"/>
          <w:sz w:val="32"/>
          <w:szCs w:val="32"/>
          <w14:textFill>
            <w14:solidFill>
              <w14:schemeClr w14:val="tx1"/>
            </w14:solidFill>
          </w14:textFill>
        </w:rPr>
        <w:t>，了解</w:t>
      </w:r>
      <w:r>
        <w:rPr>
          <w:rFonts w:ascii="仿宋_GB2312" w:hAnsi="宋体" w:eastAsia="仿宋_GB2312"/>
          <w:color w:val="000000" w:themeColor="text1"/>
          <w:sz w:val="32"/>
          <w:szCs w:val="32"/>
          <w14:textFill>
            <w14:solidFill>
              <w14:schemeClr w14:val="tx1"/>
            </w14:solidFill>
          </w14:textFill>
        </w:rPr>
        <w:t>重大</w:t>
      </w:r>
      <w:r>
        <w:rPr>
          <w:rFonts w:hint="eastAsia" w:ascii="仿宋_GB2312" w:hAnsi="宋体" w:eastAsia="仿宋_GB2312"/>
          <w:color w:val="000000" w:themeColor="text1"/>
          <w:sz w:val="32"/>
          <w:szCs w:val="32"/>
          <w14:textFill>
            <w14:solidFill>
              <w14:schemeClr w14:val="tx1"/>
            </w14:solidFill>
          </w14:textFill>
        </w:rPr>
        <w:t>科技</w:t>
      </w:r>
      <w:r>
        <w:rPr>
          <w:rFonts w:ascii="仿宋_GB2312" w:hAnsi="宋体" w:eastAsia="仿宋_GB2312"/>
          <w:color w:val="000000" w:themeColor="text1"/>
          <w:sz w:val="32"/>
          <w:szCs w:val="32"/>
          <w14:textFill>
            <w14:solidFill>
              <w14:schemeClr w14:val="tx1"/>
            </w14:solidFill>
          </w14:textFill>
        </w:rPr>
        <w:t>项目的具体情况</w:t>
      </w:r>
      <w:r>
        <w:rPr>
          <w:rFonts w:hint="eastAsia" w:ascii="仿宋_GB2312" w:hAnsi="宋体" w:eastAsia="仿宋_GB2312"/>
          <w:color w:val="000000" w:themeColor="text1"/>
          <w:sz w:val="32"/>
          <w:szCs w:val="32"/>
          <w14:textFill>
            <w14:solidFill>
              <w14:schemeClr w14:val="tx1"/>
            </w14:solidFill>
          </w14:textFill>
        </w:rPr>
        <w:t>，了解“国家重大科技专项”项目的具体情况，了解发行人在其中的任务、贡献、形成的技术成果、产业化程度与发行人主营业务的关系等信息；</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7）关于依靠核心技术形成的主要产品（服务），属于国家鼓励、支持和推动的关键设备、关键产品、关键零部件、关键材料等，并实现了进口替代的</w:t>
      </w:r>
      <w:r>
        <w:rPr>
          <w:rFonts w:hint="eastAsia" w:ascii="仿宋_GB2312" w:hAnsi="宋体" w:eastAsia="仿宋_GB2312"/>
          <w:color w:val="000000" w:themeColor="text1"/>
          <w:sz w:val="32"/>
          <w:szCs w:val="32"/>
          <w14:textFill>
            <w14:solidFill>
              <w14:schemeClr w14:val="tx1"/>
            </w14:solidFill>
          </w14:textFill>
        </w:rPr>
        <w:t>，查询相关法律法规、国家产业政策、政府指导文件、产品目录等资料，核实发行人所属行业和产品是</w:t>
      </w:r>
      <w:r>
        <w:rPr>
          <w:rFonts w:ascii="仿宋_GB2312" w:hAnsi="宋体" w:eastAsia="仿宋_GB2312"/>
          <w:color w:val="000000" w:themeColor="text1"/>
          <w:sz w:val="32"/>
          <w:szCs w:val="32"/>
          <w14:textFill>
            <w14:solidFill>
              <w14:schemeClr w14:val="tx1"/>
            </w14:solidFill>
          </w14:textFill>
        </w:rPr>
        <w:t>国家鼓励、支持、推动</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行业</w:t>
      </w:r>
      <w:r>
        <w:rPr>
          <w:rFonts w:hint="eastAsia" w:ascii="仿宋_GB2312" w:hAnsi="宋体" w:eastAsia="仿宋_GB2312"/>
          <w:color w:val="000000" w:themeColor="text1"/>
          <w:sz w:val="32"/>
          <w:szCs w:val="32"/>
          <w14:textFill>
            <w14:solidFill>
              <w14:schemeClr w14:val="tx1"/>
            </w14:solidFill>
          </w14:textFill>
        </w:rPr>
        <w:t>和产品，论证相关产品是否符合“4个关键”的要求；结合产品与核心技术的对应关系、产品销售收入占比及增长情况，分析相关产品是否属于发行人的主要产品；结合技术指标、进口替代实现时间、所处产业链地位等信息，多方面分析相关产品是否具备技术先进性；结合相关产品国产化率提升变化情况、发行人市场份额、产品应用领域等信息，分析相关产品市场空间情况等。</w:t>
      </w:r>
    </w:p>
    <w:p>
      <w:pPr>
        <w:spacing w:line="360" w:lineRule="auto"/>
        <w:ind w:firstLine="640" w:firstLineChars="200"/>
        <w:outlineLvl w:val="2"/>
        <w:rPr>
          <w:rFonts w:ascii="仿宋_GB2312" w:hAnsi="宋体" w:eastAsia="仿宋_GB2312"/>
          <w:color w:val="000000"/>
          <w:sz w:val="32"/>
          <w:szCs w:val="32"/>
        </w:rPr>
      </w:pPr>
      <w:bookmarkStart w:id="34" w:name="_Toc76472342"/>
      <w:bookmarkStart w:id="35" w:name="_Toc105940606"/>
      <w:r>
        <w:rPr>
          <w:rFonts w:ascii="仿宋_GB2312" w:hAnsi="宋体" w:eastAsia="仿宋_GB2312"/>
          <w:color w:val="000000"/>
          <w:sz w:val="32"/>
          <w:szCs w:val="32"/>
        </w:rPr>
        <w:t>3.3  创业板定位</w:t>
      </w:r>
      <w:bookmarkEnd w:id="34"/>
      <w:bookmarkEnd w:id="35"/>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保荐人应当就发行人是否符合相关行业范围和创业板定位要求等事项进行专业判断，并出具发行人符合创业板定位要求的专项意见</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3.3.1  核查发行人所属行业领域，是否属于《深圳证券交易所创业板企业发行上市申报及推荐暂行规定》</w:t>
      </w:r>
      <w:r>
        <w:rPr>
          <w:rFonts w:hint="eastAsia" w:ascii="仿宋_GB2312" w:hAnsi="宋体" w:eastAsia="仿宋_GB2312"/>
          <w:color w:val="000000" w:themeColor="text1"/>
          <w:sz w:val="32"/>
          <w:szCs w:val="32"/>
          <w14:textFill>
            <w14:solidFill>
              <w14:schemeClr w14:val="tx1"/>
            </w14:solidFill>
          </w14:textFill>
        </w:rPr>
        <w:t>等规定中</w:t>
      </w:r>
      <w:r>
        <w:rPr>
          <w:rFonts w:ascii="仿宋_GB2312" w:hAnsi="宋体" w:eastAsia="仿宋_GB2312"/>
          <w:color w:val="000000" w:themeColor="text1"/>
          <w:sz w:val="32"/>
          <w:szCs w:val="32"/>
          <w14:textFill>
            <w14:solidFill>
              <w14:schemeClr w14:val="tx1"/>
            </w14:solidFill>
          </w14:textFill>
        </w:rPr>
        <w:t>原则上不支持申报创业板发行上市的情形。保荐人应根据上市公司行业分类指引、高新技术产业和战略性新兴产业的行业领域划分，发行人拥有和应用的核心技术、提供的相关产品</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服务）、技术应用的具体领域等，核查发行人是否符合创业板的行业要求。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1）了解发行人的主营业务和产品（服务）</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拥有和应用的核心技术</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结合产业目录、政策文件、查阅相关行业研究报告，核查发行人的行业分类和定位；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2）查阅可比公司公开披露的信息，核查发行人的行业分类和定位与可比公司的行业分类是否一致</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3.3.2  核查发行人自身的创新、创造、创意特征。保荐人应核查发行人主要产品（服务）、核心技术及其功能性能、研发进展及其成果、获得的专业资质和重要奖项等，核查发行人主要产品（服务）、核心技术的创新、创造、创意特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1）访谈发行人管理层、研发部门负责人等相关人员，询问发行人主要产品（服务）的构成情况，核心技术、专利</w:t>
      </w:r>
      <w:r>
        <w:rPr>
          <w:rFonts w:hint="eastAsia" w:ascii="仿宋_GB2312" w:hAnsi="宋体" w:eastAsia="仿宋_GB2312"/>
          <w:color w:val="000000" w:themeColor="text1"/>
          <w:sz w:val="32"/>
          <w:szCs w:val="32"/>
          <w14:textFill>
            <w14:solidFill>
              <w14:schemeClr w14:val="tx1"/>
            </w14:solidFill>
          </w14:textFill>
        </w:rPr>
        <w:t>等知识产权</w:t>
      </w:r>
      <w:r>
        <w:rPr>
          <w:rFonts w:ascii="仿宋_GB2312" w:hAnsi="宋体" w:eastAsia="仿宋_GB2312"/>
          <w:color w:val="000000" w:themeColor="text1"/>
          <w:sz w:val="32"/>
          <w:szCs w:val="32"/>
          <w14:textFill>
            <w14:solidFill>
              <w14:schemeClr w14:val="tx1"/>
            </w14:solidFill>
          </w14:textFill>
        </w:rPr>
        <w:t>的形成过程、具体内容及应用领域，与发行人产品（服务）的对应关系、在主营业务中的体现和作用；获取发行人关于主要产品（服务）、核心技术先进性的相关书面说明，核查发行人的创新、创造、创意特征；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获取发行人专利证书、软件著作权证书、商标证书以及境外法律意见书、主要产品（服务）获得的重要奖项等资料，查询国家知识产权局网站，走访国家知识产权局实地调取专利清单，核查发行人的专利数量和技术特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3）获取发行人研发</w:t>
      </w:r>
      <w:r>
        <w:rPr>
          <w:rFonts w:hint="eastAsia" w:ascii="仿宋_GB2312" w:hAnsi="宋体" w:eastAsia="仿宋_GB2312"/>
          <w:color w:val="000000" w:themeColor="text1"/>
          <w:sz w:val="32"/>
          <w:szCs w:val="32"/>
          <w14:textFill>
            <w14:solidFill>
              <w14:schemeClr w14:val="tx1"/>
            </w14:solidFill>
          </w14:textFill>
        </w:rPr>
        <w:t>团队</w:t>
      </w:r>
      <w:r>
        <w:rPr>
          <w:rFonts w:ascii="仿宋_GB2312" w:hAnsi="宋体" w:eastAsia="仿宋_GB2312"/>
          <w:color w:val="000000" w:themeColor="text1"/>
          <w:sz w:val="32"/>
          <w:szCs w:val="32"/>
          <w14:textFill>
            <w14:solidFill>
              <w14:schemeClr w14:val="tx1"/>
            </w14:solidFill>
          </w14:textFill>
        </w:rPr>
        <w:t>的资质、学历、专业背景、年龄结构，访谈发行人研发部门并查阅研发规章制度，了解发行人研发体系、研发流程的具体执行情况、技术发展路径及核心技术储备情况，获取相关研发项目、研发投入的资料，核查发行人的研发实力和创新机制；</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4）访谈行业专家，查阅行业研究报告及同行业公司公开披露的信息，了解所属行业的竞争格局、特点和发展趋势，发行人主要产品（服务）、核心技术水平及行业地位情况；</w:t>
      </w:r>
      <w:r>
        <w:rPr>
          <w:rFonts w:hint="eastAsia" w:ascii="仿宋_GB2312" w:hAnsi="宋体" w:eastAsia="仿宋_GB2312"/>
          <w:color w:val="000000" w:themeColor="text1"/>
          <w:sz w:val="32"/>
          <w:szCs w:val="32"/>
          <w14:textFill>
            <w14:solidFill>
              <w14:schemeClr w14:val="tx1"/>
            </w14:solidFill>
          </w14:textFill>
        </w:rPr>
        <w:t>通过与同行业公司进行对比分析，了解发行人核心技术及产品的相关指标及具体表征。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3.3.3  核查发行人的科技创新、模式创新、业态创新和新旧产业融合情况。保荐人应结合行业监管政策、特点、发展趋势，发行人主要经营性资产、生产（服务）工艺流程，核心技术应用以及产业化情况，核查发行人的新旧产业融合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1）查阅行业研究报告、相关产业政策文件，了解发行人所属行业监管体制和政策趋势、竞争格局、特点和发展趋势，核查发行人所属领域是否符合产业政策支持的发展方向；</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2）了解发行人主要产品（服务）特点、经营模式、生产（服务）的工艺流程、核心技术产业化情况以及发展规划，了解发行人与新技术、新产业、新业态、新模式的深度融合情况</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3.3.4  核查发行人的成长性。保荐人应结合发行人的行业前景、市场地位、业务模式、技术水平和研发能力、产品（服务）的质量及市场前景、营销能力等因素，核查发行人的成长性。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1）查阅行业研究报告及同行业公司公开披露的信息，了解所属行业的发展前景，发行人主要产品（服务）、业务模式、核心技术水平及行业地位情况；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2）访谈主要客户及供应商，了解发行人产品（服务）的具体生产及应用情况、发行人所处行业上下游的经营情况以及发行人产品的质量情况、市场口碑及市场认可度；</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3）查阅发行人主要产品（服务）的采购、生产、销售和研发情况，结合发行人营业收入和净利润变动情况，核查发行人是否具有</w:t>
      </w:r>
      <w:r>
        <w:rPr>
          <w:rFonts w:hint="eastAsia" w:ascii="仿宋_GB2312" w:hAnsi="宋体" w:eastAsia="仿宋_GB2312"/>
          <w:color w:val="000000" w:themeColor="text1"/>
          <w:sz w:val="32"/>
          <w:szCs w:val="32"/>
          <w14:textFill>
            <w14:solidFill>
              <w14:schemeClr w14:val="tx1"/>
            </w14:solidFill>
          </w14:textFill>
        </w:rPr>
        <w:t>持续经营能力</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outlineLvl w:val="2"/>
        <w:rPr>
          <w:rFonts w:ascii="仿宋_GB2312" w:hAnsi="宋体" w:eastAsia="仿宋_GB2312"/>
          <w:color w:val="000000"/>
          <w:sz w:val="32"/>
          <w:szCs w:val="32"/>
        </w:rPr>
      </w:pPr>
      <w:bookmarkStart w:id="36" w:name="_Toc105940607"/>
      <w:r>
        <w:rPr>
          <w:rFonts w:ascii="仿宋_GB2312" w:hAnsi="宋体" w:eastAsia="仿宋_GB2312"/>
          <w:color w:val="000000"/>
          <w:sz w:val="32"/>
          <w:szCs w:val="32"/>
        </w:rPr>
        <w:t xml:space="preserve">3.4  </w:t>
      </w:r>
      <w:r>
        <w:rPr>
          <w:rFonts w:hint="eastAsia" w:ascii="仿宋_GB2312" w:hAnsi="宋体" w:eastAsia="仿宋_GB2312"/>
          <w:color w:val="000000"/>
          <w:sz w:val="32"/>
          <w:szCs w:val="32"/>
        </w:rPr>
        <w:t>北交所定位</w:t>
      </w:r>
      <w:bookmarkEnd w:id="36"/>
    </w:p>
    <w:p>
      <w:pPr>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保荐人应结合发行人所属行业的特点</w:t>
      </w:r>
      <w:r>
        <w:rPr>
          <w:rFonts w:ascii="仿宋_GB2312" w:hAnsi="宋体" w:eastAsia="仿宋_GB2312"/>
          <w:color w:val="000000" w:themeColor="text1"/>
          <w:sz w:val="32"/>
          <w:szCs w:val="32"/>
          <w14:textFill>
            <w14:solidFill>
              <w14:schemeClr w14:val="tx1"/>
            </w14:solidFill>
          </w14:textFill>
        </w:rPr>
        <w:t>和发展趋势，充分</w:t>
      </w:r>
      <w:r>
        <w:rPr>
          <w:rFonts w:hint="eastAsia" w:ascii="仿宋_GB2312" w:hAnsi="宋体" w:eastAsia="仿宋_GB2312"/>
          <w:color w:val="000000" w:themeColor="text1"/>
          <w:sz w:val="32"/>
          <w:szCs w:val="32"/>
          <w14:textFill>
            <w14:solidFill>
              <w14:schemeClr w14:val="tx1"/>
            </w14:solidFill>
          </w14:textFill>
        </w:rPr>
        <w:t>核查发行人</w:t>
      </w:r>
      <w:r>
        <w:rPr>
          <w:rFonts w:ascii="仿宋_GB2312" w:hAnsi="宋体" w:eastAsia="仿宋_GB2312"/>
          <w:color w:val="000000" w:themeColor="text1"/>
          <w:sz w:val="32"/>
          <w:szCs w:val="32"/>
          <w14:textFill>
            <w14:solidFill>
              <w14:schemeClr w14:val="tx1"/>
            </w14:solidFill>
          </w14:textFill>
        </w:rPr>
        <w:t>自身</w:t>
      </w:r>
      <w:r>
        <w:rPr>
          <w:rFonts w:hint="eastAsia" w:ascii="仿宋_GB2312" w:hAnsi="宋体" w:eastAsia="仿宋_GB2312"/>
          <w:color w:val="000000" w:themeColor="text1"/>
          <w:sz w:val="32"/>
          <w:szCs w:val="32"/>
          <w14:textFill>
            <w14:solidFill>
              <w14:schemeClr w14:val="tx1"/>
            </w14:solidFill>
          </w14:textFill>
        </w:rPr>
        <w:t>是否符合北交所的定位。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3.4.1  </w:t>
      </w:r>
      <w:r>
        <w:rPr>
          <w:rFonts w:hint="eastAsia" w:ascii="仿宋_GB2312" w:hAnsi="宋体" w:eastAsia="仿宋_GB2312"/>
          <w:color w:val="000000" w:themeColor="text1"/>
          <w:sz w:val="32"/>
          <w:szCs w:val="32"/>
          <w14:textFill>
            <w14:solidFill>
              <w14:schemeClr w14:val="tx1"/>
            </w14:solidFill>
          </w14:textFill>
        </w:rPr>
        <w:t>通过访谈发行人高管人员和查阅资料、公开信息，了解发行人的业务和研发模式、主要技术和产品的发展过程、核心技术的优势，核查发行人技术创新、模式创新和科技成果转化等情况。发行人的业务模式具有创新性的，还应核查发行人的独特性、创新内容及持续创新机制。</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3.4.2  </w:t>
      </w:r>
      <w:r>
        <w:rPr>
          <w:rFonts w:hint="eastAsia" w:ascii="仿宋_GB2312" w:hAnsi="宋体" w:eastAsia="仿宋_GB2312"/>
          <w:color w:val="000000" w:themeColor="text1"/>
          <w:sz w:val="32"/>
          <w:szCs w:val="32"/>
          <w14:textFill>
            <w14:solidFill>
              <w14:schemeClr w14:val="tx1"/>
            </w14:solidFill>
          </w14:textFill>
        </w:rPr>
        <w:t>通过查阅发行人所处行业的研究报告、同行业可比公司的公开披露资料，访谈发行人核心技术人员、行业专家等方式，了解行业技术水平及技术特点、主要技术门槛和技术</w:t>
      </w:r>
      <w:r>
        <w:rPr>
          <w:rFonts w:ascii="仿宋_GB2312" w:hAnsi="宋体" w:eastAsia="仿宋_GB2312"/>
          <w:color w:val="000000" w:themeColor="text1"/>
          <w:sz w:val="32"/>
          <w:szCs w:val="32"/>
          <w14:textFill>
            <w14:solidFill>
              <w14:schemeClr w14:val="tx1"/>
            </w14:solidFill>
          </w14:textFill>
        </w:rPr>
        <w:t>壁垒，衡量核心竞争力的关键指标，行业技术的发展趋势。</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3.4.3  </w:t>
      </w:r>
      <w:r>
        <w:rPr>
          <w:rFonts w:hint="eastAsia" w:ascii="仿宋_GB2312" w:hAnsi="宋体" w:eastAsia="仿宋_GB2312"/>
          <w:color w:val="000000" w:themeColor="text1"/>
          <w:sz w:val="32"/>
          <w:szCs w:val="32"/>
          <w14:textFill>
            <w14:solidFill>
              <w14:schemeClr w14:val="tx1"/>
            </w14:solidFill>
          </w14:textFill>
        </w:rPr>
        <w:t>通过审阅发行人研发费用明细表、报告期内研发项目以及核心技术的相关文件资料，了解核心技术的独特性和突破点，以及对主要产品关键性能的影响。通过公开渠道查阅同行业可比公司产品的关键性能指标，与发行人同类产品进行比较分析，发行人与同行业可比公司在经营情况、市场地位、</w:t>
      </w:r>
      <w:r>
        <w:rPr>
          <w:rFonts w:ascii="仿宋_GB2312" w:hAnsi="宋体" w:eastAsia="仿宋_GB2312"/>
          <w:color w:val="000000" w:themeColor="text1"/>
          <w:sz w:val="32"/>
          <w:szCs w:val="32"/>
          <w14:textFill>
            <w14:solidFill>
              <w14:schemeClr w14:val="tx1"/>
            </w14:solidFill>
          </w14:textFill>
        </w:rPr>
        <w:t>技术实力、衡量核心竞争力的关键业务数据、指标等方面的比较情况。</w:t>
      </w:r>
      <w:r>
        <w:rPr>
          <w:rFonts w:hint="eastAsia" w:ascii="仿宋_GB2312" w:hAnsi="宋体" w:eastAsia="仿宋_GB2312"/>
          <w:color w:val="000000" w:themeColor="text1"/>
          <w:sz w:val="32"/>
          <w:szCs w:val="32"/>
          <w14:textFill>
            <w14:solidFill>
              <w14:schemeClr w14:val="tx1"/>
            </w14:solidFill>
          </w14:textFill>
        </w:rPr>
        <w:t>现场查看发行人的场地、人员、设备等情况，核查是否与发行人的技术相匹配。</w:t>
      </w:r>
    </w:p>
    <w:p>
      <w:pPr>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p>
    <w:p>
      <w:pPr>
        <w:pStyle w:val="33"/>
        <w:spacing w:before="0" w:after="0" w:line="360" w:lineRule="auto"/>
        <w:rPr>
          <w:rFonts w:ascii="仿宋_GB2312" w:hAnsi="宋体" w:eastAsia="仿宋_GB2312"/>
          <w:color w:val="000000" w:themeColor="text1"/>
          <w:sz w:val="32"/>
          <w14:textFill>
            <w14:solidFill>
              <w14:schemeClr w14:val="tx1"/>
            </w14:solidFill>
          </w14:textFill>
        </w:rPr>
      </w:pPr>
      <w:bookmarkStart w:id="37" w:name="_Toc76472343"/>
      <w:bookmarkStart w:id="38" w:name="_Toc105940608"/>
      <w:r>
        <w:rPr>
          <w:rFonts w:hint="eastAsia" w:ascii="仿宋_GB2312" w:hAnsi="宋体" w:eastAsia="仿宋_GB2312"/>
          <w:color w:val="000000" w:themeColor="text1"/>
          <w:sz w:val="32"/>
          <w14:textFill>
            <w14:solidFill>
              <w14:schemeClr w14:val="tx1"/>
            </w14:solidFill>
          </w14:textFill>
        </w:rPr>
        <w:t>第四章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推荐期间的尽职调查</w:t>
      </w:r>
      <w:bookmarkEnd w:id="37"/>
      <w:bookmarkEnd w:id="38"/>
    </w:p>
    <w:p>
      <w:pPr>
        <w:spacing w:line="360" w:lineRule="auto"/>
        <w:ind w:firstLine="640" w:firstLineChars="200"/>
        <w:outlineLvl w:val="2"/>
        <w:rPr>
          <w:rFonts w:ascii="仿宋_GB2312" w:hAnsi="宋体" w:eastAsia="仿宋_GB2312"/>
          <w:color w:val="000000"/>
          <w:sz w:val="32"/>
          <w:szCs w:val="32"/>
        </w:rPr>
      </w:pPr>
      <w:bookmarkStart w:id="39" w:name="_Toc76472344"/>
      <w:bookmarkStart w:id="40" w:name="_Toc105940609"/>
      <w:r>
        <w:rPr>
          <w:rFonts w:ascii="仿宋_GB2312" w:hAnsi="宋体" w:eastAsia="仿宋_GB2312"/>
          <w:color w:val="000000"/>
          <w:sz w:val="32"/>
          <w:szCs w:val="32"/>
        </w:rPr>
        <w:t xml:space="preserve">4.1  </w:t>
      </w:r>
      <w:r>
        <w:rPr>
          <w:rFonts w:hint="eastAsia" w:ascii="仿宋_GB2312" w:hAnsi="宋体" w:eastAsia="仿宋_GB2312"/>
          <w:color w:val="000000"/>
          <w:sz w:val="32"/>
          <w:szCs w:val="32"/>
        </w:rPr>
        <w:t>尽职调查的主要内容</w:t>
      </w:r>
      <w:bookmarkEnd w:id="39"/>
      <w:bookmarkEnd w:id="40"/>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尽职调查是保荐人充分了解发行人的经营情况及其面临的风险和问题，并有充分理由确信发行人符合《证券法》等法律法规及各项发行和上市条件以及确信发行人申请文件和发行募集文件真实、准确、完整的过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需要按照《保荐人尽职调查工作准则》规定，对涉及发行条件或对投资者做出投资决策有重大影响的信息，勤勉尽责地进行尽职调查，包括但不限于：风险因素调查、发行人基本情况调查、业务与技术调查、财务与会计调查、业务发展目标调查、募集资金运用调查、公司治理与独立性调查、投资者保护和其他重大事项的调查。</w:t>
      </w:r>
    </w:p>
    <w:p>
      <w:pPr>
        <w:spacing w:line="360" w:lineRule="auto"/>
        <w:ind w:firstLine="640" w:firstLineChars="200"/>
        <w:outlineLvl w:val="2"/>
        <w:rPr>
          <w:rFonts w:ascii="仿宋_GB2312" w:hAnsi="宋体" w:eastAsia="仿宋_GB2312"/>
          <w:color w:val="000000"/>
          <w:sz w:val="32"/>
          <w:szCs w:val="32"/>
        </w:rPr>
      </w:pPr>
      <w:bookmarkStart w:id="41" w:name="_Toc105940610"/>
      <w:bookmarkStart w:id="42" w:name="_Toc76472345"/>
      <w:r>
        <w:rPr>
          <w:rFonts w:ascii="仿宋_GB2312" w:hAnsi="宋体" w:eastAsia="仿宋_GB2312"/>
          <w:color w:val="000000"/>
          <w:sz w:val="32"/>
          <w:szCs w:val="32"/>
        </w:rPr>
        <w:t xml:space="preserve">4.2  </w:t>
      </w:r>
      <w:r>
        <w:rPr>
          <w:rFonts w:hint="eastAsia" w:ascii="仿宋_GB2312" w:hAnsi="宋体" w:eastAsia="仿宋_GB2312"/>
          <w:color w:val="000000"/>
          <w:sz w:val="32"/>
          <w:szCs w:val="32"/>
        </w:rPr>
        <w:t>尽职调查的主要原则</w:t>
      </w:r>
      <w:bookmarkEnd w:id="41"/>
      <w:bookmarkEnd w:id="42"/>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4.2.1  </w:t>
      </w:r>
      <w:r>
        <w:rPr>
          <w:rFonts w:hint="eastAsia" w:ascii="仿宋_GB2312" w:hAnsi="宋体" w:eastAsia="仿宋_GB2312"/>
          <w:color w:val="000000" w:themeColor="text1"/>
          <w:sz w:val="32"/>
          <w:szCs w:val="32"/>
          <w14:textFill>
            <w14:solidFill>
              <w14:schemeClr w14:val="tx1"/>
            </w14:solidFill>
          </w14:textFill>
        </w:rPr>
        <w:t>原则上鼓励保荐人应在项目尽职调查现场工作开始前制定总体尽职调查计划。计划内容至少应包括工作进度、时间安排、人员安排和具体事项的现场调查方案；现场调查开始后，保荐人应根据计划确定的尽职调查事项、重点和方法，实施尽职调查方案。</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4.2.2  保荐人应按照要求对发行人相关情况予以全面</w:t>
      </w:r>
      <w:r>
        <w:rPr>
          <w:rFonts w:hint="eastAsia" w:ascii="仿宋_GB2312" w:hAnsi="宋体" w:eastAsia="仿宋_GB2312"/>
          <w:color w:val="000000" w:themeColor="text1"/>
          <w:sz w:val="32"/>
          <w:szCs w:val="32"/>
          <w14:textFill>
            <w14:solidFill>
              <w14:schemeClr w14:val="tx1"/>
            </w14:solidFill>
          </w14:textFill>
        </w:rPr>
        <w:t>核</w:t>
      </w:r>
      <w:r>
        <w:rPr>
          <w:rFonts w:ascii="仿宋_GB2312" w:hAnsi="宋体" w:eastAsia="仿宋_GB2312"/>
          <w:color w:val="000000" w:themeColor="text1"/>
          <w:sz w:val="32"/>
          <w:szCs w:val="32"/>
          <w14:textFill>
            <w14:solidFill>
              <w14:schemeClr w14:val="tx1"/>
            </w14:solidFill>
          </w14:textFill>
        </w:rPr>
        <w:t>查</w:t>
      </w:r>
      <w:r>
        <w:rPr>
          <w:rFonts w:hint="eastAsia" w:ascii="仿宋_GB2312" w:hAnsi="宋体" w:eastAsia="仿宋_GB2312"/>
          <w:color w:val="000000" w:themeColor="text1"/>
          <w:sz w:val="32"/>
          <w:szCs w:val="32"/>
          <w14:textFill>
            <w14:solidFill>
              <w14:schemeClr w14:val="tx1"/>
            </w14:solidFill>
          </w14:textFill>
        </w:rPr>
        <w:t>，并</w:t>
      </w:r>
      <w:r>
        <w:rPr>
          <w:rFonts w:ascii="仿宋_GB2312" w:hAnsi="宋体" w:eastAsia="仿宋_GB2312"/>
          <w:color w:val="000000" w:themeColor="text1"/>
          <w:sz w:val="32"/>
          <w:szCs w:val="32"/>
          <w14:textFill>
            <w14:solidFill>
              <w14:schemeClr w14:val="tx1"/>
            </w14:solidFill>
          </w14:textFill>
        </w:rPr>
        <w:t>对计划中所确定的调查重点实施重点核查。</w:t>
      </w:r>
      <w:r>
        <w:rPr>
          <w:rFonts w:hint="eastAsia" w:ascii="仿宋_GB2312" w:hAnsi="宋体" w:eastAsia="仿宋_GB2312"/>
          <w:color w:val="000000" w:themeColor="text1"/>
          <w:sz w:val="32"/>
          <w:szCs w:val="32"/>
          <w14:textFill>
            <w14:solidFill>
              <w14:schemeClr w14:val="tx1"/>
            </w14:solidFill>
          </w14:textFill>
        </w:rPr>
        <w:t>对于在尽调过程中发现的重要问题应补充核查方法、范围及程序，对尽调计划的调查重点进行补充并执行。</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4.2.3  保荐人尽职调查结论</w:t>
      </w:r>
      <w:r>
        <w:rPr>
          <w:rFonts w:hint="eastAsia" w:ascii="仿宋_GB2312" w:hAnsi="宋体" w:eastAsia="仿宋_GB2312"/>
          <w:color w:val="000000" w:themeColor="text1"/>
          <w:sz w:val="32"/>
          <w:szCs w:val="32"/>
          <w14:textFill>
            <w14:solidFill>
              <w14:schemeClr w14:val="tx1"/>
            </w14:solidFill>
          </w14:textFill>
        </w:rPr>
        <w:t>需要有相应的证据支撑，且</w:t>
      </w:r>
      <w:r>
        <w:rPr>
          <w:rFonts w:ascii="仿宋_GB2312" w:hAnsi="宋体" w:eastAsia="仿宋_GB2312"/>
          <w:color w:val="000000" w:themeColor="text1"/>
          <w:sz w:val="32"/>
          <w:szCs w:val="32"/>
          <w14:textFill>
            <w14:solidFill>
              <w14:schemeClr w14:val="tx1"/>
            </w14:solidFill>
          </w14:textFill>
        </w:rPr>
        <w:t>尽职调查证据应当与尽职调查目标、内容相关联，并能如实地反映客观事实。</w:t>
      </w:r>
    </w:p>
    <w:p>
      <w:pPr>
        <w:spacing w:line="360" w:lineRule="auto"/>
        <w:ind w:firstLine="640" w:firstLineChars="200"/>
        <w:outlineLvl w:val="2"/>
        <w:rPr>
          <w:rFonts w:ascii="仿宋_GB2312" w:hAnsi="宋体" w:eastAsia="仿宋_GB2312"/>
          <w:color w:val="000000"/>
          <w:sz w:val="32"/>
          <w:szCs w:val="32"/>
        </w:rPr>
      </w:pPr>
      <w:bookmarkStart w:id="43" w:name="_Toc105940611"/>
      <w:bookmarkStart w:id="44" w:name="_Toc76472346"/>
      <w:r>
        <w:rPr>
          <w:rFonts w:ascii="仿宋_GB2312" w:hAnsi="宋体" w:eastAsia="仿宋_GB2312"/>
          <w:color w:val="000000"/>
          <w:sz w:val="32"/>
          <w:szCs w:val="32"/>
        </w:rPr>
        <w:t xml:space="preserve">4.3  </w:t>
      </w:r>
      <w:r>
        <w:rPr>
          <w:rFonts w:hint="eastAsia" w:ascii="仿宋_GB2312" w:hAnsi="宋体" w:eastAsia="仿宋_GB2312"/>
          <w:color w:val="000000"/>
          <w:sz w:val="32"/>
          <w:szCs w:val="32"/>
        </w:rPr>
        <w:t>尽职调查的方法</w:t>
      </w:r>
      <w:bookmarkEnd w:id="43"/>
      <w:bookmarkEnd w:id="44"/>
    </w:p>
    <w:p>
      <w:pPr>
        <w:spacing w:line="360" w:lineRule="auto"/>
        <w:ind w:firstLine="640" w:firstLineChars="200"/>
        <w:rPr>
          <w:rFonts w:ascii="仿宋_GB2312" w:hAnsi="宋体" w:eastAsia="仿宋_GB2312"/>
          <w:color w:val="000000" w:themeColor="text1"/>
          <w:sz w:val="32"/>
          <w:szCs w:val="32"/>
          <w:lang w:val="e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尽职调查的形式包括</w:t>
      </w:r>
      <w:r>
        <w:rPr>
          <w:rFonts w:ascii="仿宋_GB2312" w:hAnsi="宋体" w:eastAsia="仿宋_GB2312"/>
          <w:color w:val="000000" w:themeColor="text1"/>
          <w:sz w:val="32"/>
          <w:szCs w:val="32"/>
          <w:lang w:val="en"/>
          <w14:textFill>
            <w14:solidFill>
              <w14:schemeClr w14:val="tx1"/>
            </w14:solidFill>
          </w14:textFill>
        </w:rPr>
        <w:t>:</w:t>
      </w:r>
    </w:p>
    <w:p>
      <w:pPr>
        <w:numPr>
          <w:ilvl w:val="0"/>
          <w:numId w:val="1"/>
        </w:numPr>
        <w:spacing w:line="360" w:lineRule="auto"/>
        <w:ind w:firstLine="640" w:firstLineChars="200"/>
        <w:rPr>
          <w:rFonts w:ascii="仿宋_GB2312" w:hAnsi="宋体" w:eastAsia="仿宋_GB2312"/>
          <w:color w:val="000000" w:themeColor="text1"/>
          <w:sz w:val="32"/>
          <w:szCs w:val="32"/>
          <w:lang w:val="en"/>
          <w14:textFill>
            <w14:solidFill>
              <w14:schemeClr w14:val="tx1"/>
            </w14:solidFill>
          </w14:textFill>
        </w:rPr>
      </w:pPr>
      <w:r>
        <w:rPr>
          <w:rFonts w:hint="eastAsia" w:ascii="仿宋_GB2312" w:hAnsi="宋体" w:eastAsia="仿宋_GB2312"/>
          <w:color w:val="000000" w:themeColor="text1"/>
          <w:sz w:val="32"/>
          <w:szCs w:val="32"/>
          <w:lang w:val="en"/>
          <w14:textFill>
            <w14:solidFill>
              <w14:schemeClr w14:val="tx1"/>
            </w14:solidFill>
          </w14:textFill>
        </w:rPr>
        <w:t>取得和</w:t>
      </w:r>
      <w:r>
        <w:rPr>
          <w:rFonts w:ascii="仿宋_GB2312" w:hAnsi="宋体" w:eastAsia="仿宋_GB2312"/>
          <w:color w:val="000000" w:themeColor="text1"/>
          <w:sz w:val="32"/>
          <w:szCs w:val="32"/>
          <w:lang w:val="en"/>
          <w14:textFill>
            <w14:solidFill>
              <w14:schemeClr w14:val="tx1"/>
            </w14:solidFill>
          </w14:textFill>
        </w:rPr>
        <w:t>审阅文件资料</w:t>
      </w:r>
    </w:p>
    <w:p>
      <w:pPr>
        <w:numPr>
          <w:ilvl w:val="255"/>
          <w:numId w:val="0"/>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保荐人通过取得和</w:t>
      </w:r>
      <w:r>
        <w:rPr>
          <w:rFonts w:ascii="仿宋_GB2312" w:hAnsi="宋体" w:eastAsia="仿宋_GB2312"/>
          <w:color w:val="000000" w:themeColor="text1"/>
          <w:sz w:val="32"/>
          <w:szCs w:val="32"/>
          <w14:textFill>
            <w14:solidFill>
              <w14:schemeClr w14:val="tx1"/>
            </w14:solidFill>
          </w14:textFill>
        </w:rPr>
        <w:t>审阅</w:t>
      </w:r>
      <w:r>
        <w:rPr>
          <w:rFonts w:hint="eastAsia" w:ascii="仿宋_GB2312" w:hAnsi="宋体" w:eastAsia="仿宋_GB2312"/>
          <w:color w:val="000000" w:themeColor="text1"/>
          <w:sz w:val="32"/>
          <w:szCs w:val="32"/>
          <w14:textFill>
            <w14:solidFill>
              <w14:schemeClr w14:val="tx1"/>
            </w14:solidFill>
          </w14:textFill>
        </w:rPr>
        <w:t>发行人、控股股东和实际控制人、主要股东、关联方的</w:t>
      </w:r>
      <w:r>
        <w:rPr>
          <w:rFonts w:ascii="仿宋_GB2312" w:hAnsi="宋体" w:eastAsia="仿宋_GB2312"/>
          <w:color w:val="000000" w:themeColor="text1"/>
          <w:sz w:val="32"/>
          <w:szCs w:val="32"/>
          <w14:textFill>
            <w14:solidFill>
              <w14:schemeClr w14:val="tx1"/>
            </w14:solidFill>
          </w14:textFill>
        </w:rPr>
        <w:t>工商注册、财务报告</w:t>
      </w:r>
      <w:r>
        <w:rPr>
          <w:rFonts w:hint="eastAsia" w:ascii="仿宋_GB2312" w:hAnsi="宋体" w:eastAsia="仿宋_GB2312"/>
          <w:color w:val="000000" w:themeColor="text1"/>
          <w:sz w:val="32"/>
          <w:szCs w:val="32"/>
          <w14:textFill>
            <w14:solidFill>
              <w14:schemeClr w14:val="tx1"/>
            </w14:solidFill>
          </w14:textFill>
        </w:rPr>
        <w:t>，以及发行人的</w:t>
      </w:r>
      <w:r>
        <w:rPr>
          <w:rFonts w:ascii="仿宋_GB2312" w:hAnsi="宋体" w:eastAsia="仿宋_GB2312"/>
          <w:color w:val="000000" w:themeColor="text1"/>
          <w:sz w:val="32"/>
          <w:szCs w:val="32"/>
          <w14:textFill>
            <w14:solidFill>
              <w14:schemeClr w14:val="tx1"/>
            </w14:solidFill>
          </w14:textFill>
        </w:rPr>
        <w:t>业务文件、法律合同等</w:t>
      </w:r>
      <w:r>
        <w:rPr>
          <w:rFonts w:hint="eastAsia" w:ascii="仿宋_GB2312" w:hAnsi="宋体" w:eastAsia="仿宋_GB2312"/>
          <w:color w:val="000000" w:themeColor="text1"/>
          <w:sz w:val="32"/>
          <w:szCs w:val="32"/>
          <w14:textFill>
            <w14:solidFill>
              <w14:schemeClr w14:val="tx1"/>
            </w14:solidFill>
          </w14:textFill>
        </w:rPr>
        <w:t>各项尽职调查需要获取的文件，</w:t>
      </w:r>
      <w:r>
        <w:rPr>
          <w:rFonts w:ascii="仿宋_GB2312" w:hAnsi="宋体" w:eastAsia="仿宋_GB2312"/>
          <w:color w:val="000000" w:themeColor="text1"/>
          <w:sz w:val="32"/>
          <w:szCs w:val="32"/>
          <w14:textFill>
            <w14:solidFill>
              <w14:schemeClr w14:val="tx1"/>
            </w14:solidFill>
          </w14:textFill>
        </w:rPr>
        <w:t>发现潜在的异常情况及重大问题。</w:t>
      </w:r>
    </w:p>
    <w:p>
      <w:pPr>
        <w:numPr>
          <w:ilvl w:val="0"/>
          <w:numId w:val="1"/>
        </w:numPr>
        <w:spacing w:line="360" w:lineRule="auto"/>
        <w:ind w:firstLine="640" w:firstLineChars="200"/>
        <w:rPr>
          <w:rFonts w:ascii="仿宋_GB2312" w:hAnsi="宋体" w:eastAsia="仿宋_GB2312"/>
          <w:color w:val="000000" w:themeColor="text1"/>
          <w:sz w:val="32"/>
          <w:szCs w:val="32"/>
          <w:lang w:val="en"/>
          <w14:textFill>
            <w14:solidFill>
              <w14:schemeClr w14:val="tx1"/>
            </w14:solidFill>
          </w14:textFill>
        </w:rPr>
      </w:pPr>
      <w:r>
        <w:rPr>
          <w:rFonts w:hint="eastAsia" w:ascii="仿宋_GB2312" w:hAnsi="宋体" w:eastAsia="仿宋_GB2312"/>
          <w:color w:val="000000" w:themeColor="text1"/>
          <w:sz w:val="32"/>
          <w:szCs w:val="32"/>
          <w:lang w:val="en"/>
          <w14:textFill>
            <w14:solidFill>
              <w14:schemeClr w14:val="tx1"/>
            </w14:solidFill>
          </w14:textFill>
        </w:rPr>
        <w:t>独立的调查和取得第三方信息</w:t>
      </w:r>
    </w:p>
    <w:p>
      <w:pPr>
        <w:numPr>
          <w:ilvl w:val="255"/>
          <w:numId w:val="0"/>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w:t>
      </w:r>
      <w:r>
        <w:rPr>
          <w:rFonts w:ascii="仿宋_GB2312" w:hAnsi="宋体" w:eastAsia="仿宋_GB2312"/>
          <w:color w:val="000000" w:themeColor="text1"/>
          <w:sz w:val="32"/>
          <w:szCs w:val="32"/>
          <w14:textFill>
            <w14:solidFill>
              <w14:schemeClr w14:val="tx1"/>
            </w14:solidFill>
          </w14:textFill>
        </w:rPr>
        <w:t>通过网络</w:t>
      </w:r>
      <w:r>
        <w:rPr>
          <w:rFonts w:hint="eastAsia" w:ascii="仿宋_GB2312" w:hAnsi="宋体" w:eastAsia="仿宋_GB2312"/>
          <w:color w:val="000000" w:themeColor="text1"/>
          <w:sz w:val="32"/>
          <w:szCs w:val="32"/>
          <w14:textFill>
            <w14:solidFill>
              <w14:schemeClr w14:val="tx1"/>
            </w14:solidFill>
          </w14:textFill>
        </w:rPr>
        <w:t>公开查询</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取得或查阅权威的行业公开报告或期刊杂志</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与发行人所处行业的专业</w:t>
      </w:r>
      <w:r>
        <w:rPr>
          <w:rFonts w:ascii="仿宋_GB2312" w:hAnsi="宋体" w:eastAsia="仿宋_GB2312"/>
          <w:color w:val="000000" w:themeColor="text1"/>
          <w:sz w:val="32"/>
          <w:szCs w:val="32"/>
          <w14:textFill>
            <w14:solidFill>
              <w14:schemeClr w14:val="tx1"/>
            </w14:solidFill>
          </w14:textFill>
        </w:rPr>
        <w:t>人士</w:t>
      </w:r>
      <w:r>
        <w:rPr>
          <w:rFonts w:hint="eastAsia" w:ascii="仿宋_GB2312" w:hAnsi="宋体" w:eastAsia="仿宋_GB2312"/>
          <w:color w:val="000000" w:themeColor="text1"/>
          <w:sz w:val="32"/>
          <w:szCs w:val="32"/>
          <w14:textFill>
            <w14:solidFill>
              <w14:schemeClr w14:val="tx1"/>
            </w14:solidFill>
          </w14:textFill>
        </w:rPr>
        <w:t>进行访谈</w:t>
      </w:r>
      <w:r>
        <w:rPr>
          <w:rFonts w:ascii="仿宋_GB2312" w:hAnsi="宋体" w:eastAsia="仿宋_GB2312"/>
          <w:color w:val="000000" w:themeColor="text1"/>
          <w:sz w:val="32"/>
          <w:szCs w:val="32"/>
          <w14:textFill>
            <w14:solidFill>
              <w14:schemeClr w14:val="tx1"/>
            </w14:solidFill>
          </w14:textFill>
        </w:rPr>
        <w:t>等</w:t>
      </w:r>
      <w:r>
        <w:rPr>
          <w:rFonts w:hint="eastAsia" w:ascii="仿宋_GB2312" w:hAnsi="宋体" w:eastAsia="仿宋_GB2312"/>
          <w:color w:val="000000" w:themeColor="text1"/>
          <w:sz w:val="32"/>
          <w:szCs w:val="32"/>
          <w14:textFill>
            <w14:solidFill>
              <w14:schemeClr w14:val="tx1"/>
            </w14:solidFill>
          </w14:textFill>
        </w:rPr>
        <w:t>方式进行独立的调查和取得第三方信息</w:t>
      </w:r>
      <w:r>
        <w:rPr>
          <w:rFonts w:ascii="仿宋_GB2312" w:hAnsi="宋体" w:eastAsia="仿宋_GB2312"/>
          <w:color w:val="000000" w:themeColor="text1"/>
          <w:sz w:val="32"/>
          <w:szCs w:val="32"/>
          <w14:textFill>
            <w14:solidFill>
              <w14:schemeClr w14:val="tx1"/>
            </w14:solidFill>
          </w14:textFill>
        </w:rPr>
        <w:t>，了解</w:t>
      </w:r>
      <w:r>
        <w:rPr>
          <w:rFonts w:hint="eastAsia" w:ascii="仿宋_GB2312" w:hAnsi="宋体" w:eastAsia="仿宋_GB2312"/>
          <w:color w:val="000000" w:themeColor="text1"/>
          <w:sz w:val="32"/>
          <w:szCs w:val="32"/>
          <w14:textFill>
            <w14:solidFill>
              <w14:schemeClr w14:val="tx1"/>
            </w14:solidFill>
          </w14:textFill>
        </w:rPr>
        <w:t>和验证发行人的基本情况、</w:t>
      </w:r>
      <w:r>
        <w:rPr>
          <w:rFonts w:ascii="仿宋_GB2312" w:hAnsi="宋体" w:eastAsia="仿宋_GB2312"/>
          <w:color w:val="000000" w:themeColor="text1"/>
          <w:sz w:val="32"/>
          <w:szCs w:val="32"/>
          <w14:textFill>
            <w14:solidFill>
              <w14:schemeClr w14:val="tx1"/>
            </w14:solidFill>
          </w14:textFill>
        </w:rPr>
        <w:t>所处行业的情况</w:t>
      </w:r>
      <w:r>
        <w:rPr>
          <w:rFonts w:hint="eastAsia" w:ascii="仿宋_GB2312" w:hAnsi="宋体" w:eastAsia="仿宋_GB2312"/>
          <w:color w:val="000000" w:themeColor="text1"/>
          <w:sz w:val="32"/>
          <w:szCs w:val="32"/>
          <w14:textFill>
            <w14:solidFill>
              <w14:schemeClr w14:val="tx1"/>
            </w14:solidFill>
          </w14:textFill>
        </w:rPr>
        <w:t>、行业地位和竞争力情况</w:t>
      </w:r>
      <w:r>
        <w:rPr>
          <w:rFonts w:ascii="仿宋_GB2312" w:hAnsi="宋体" w:eastAsia="仿宋_GB2312"/>
          <w:color w:val="000000" w:themeColor="text1"/>
          <w:sz w:val="32"/>
          <w:szCs w:val="32"/>
          <w14:textFill>
            <w14:solidFill>
              <w14:schemeClr w14:val="tx1"/>
            </w14:solidFill>
          </w14:textFill>
        </w:rPr>
        <w:t>。</w:t>
      </w:r>
    </w:p>
    <w:p>
      <w:pPr>
        <w:numPr>
          <w:ilvl w:val="0"/>
          <w:numId w:val="1"/>
        </w:numPr>
        <w:spacing w:line="360" w:lineRule="auto"/>
        <w:ind w:firstLine="640" w:firstLineChars="200"/>
        <w:rPr>
          <w:rFonts w:ascii="仿宋_GB2312" w:hAnsi="宋体" w:eastAsia="仿宋_GB2312"/>
          <w:color w:val="000000" w:themeColor="text1"/>
          <w:sz w:val="32"/>
          <w:szCs w:val="32"/>
          <w:lang w:val="en"/>
          <w14:textFill>
            <w14:solidFill>
              <w14:schemeClr w14:val="tx1"/>
            </w14:solidFill>
          </w14:textFill>
        </w:rPr>
      </w:pPr>
      <w:r>
        <w:rPr>
          <w:rFonts w:hint="eastAsia" w:ascii="仿宋_GB2312" w:hAnsi="宋体" w:eastAsia="仿宋_GB2312"/>
          <w:color w:val="000000" w:themeColor="text1"/>
          <w:sz w:val="32"/>
          <w:szCs w:val="32"/>
          <w:lang w:val="en"/>
          <w14:textFill>
            <w14:solidFill>
              <w14:schemeClr w14:val="tx1"/>
            </w14:solidFill>
          </w14:textFill>
        </w:rPr>
        <w:t>现场调查和访谈</w:t>
      </w:r>
    </w:p>
    <w:p>
      <w:pPr>
        <w:numPr>
          <w:ilvl w:val="255"/>
          <w:numId w:val="0"/>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需要对发行人主要生产环境、配套设施、办公场所、财务状况、各个业务部门等进行现场调查以及与发行人及其主要子公司的董事、监事、高级管理人员进行访谈、与发行人的控股股东或实际控制人及其控制的主要子公司的核心人员等进行访谈，开展访谈应确定受访对象的真实身份。</w:t>
      </w:r>
    </w:p>
    <w:p>
      <w:pPr>
        <w:numPr>
          <w:ilvl w:val="0"/>
          <w:numId w:val="1"/>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核查财务数据</w:t>
      </w:r>
    </w:p>
    <w:p>
      <w:pPr>
        <w:numPr>
          <w:ilvl w:val="255"/>
          <w:numId w:val="0"/>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通过研究不同财务数据之间以及财务数据与非财务数据之间的内在关系，对财务信息做出评价</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以人工或计算机辅助方式对文件中数据计算的准确性进行核对</w:t>
      </w:r>
      <w:r>
        <w:rPr>
          <w:rFonts w:hint="eastAsia" w:ascii="仿宋_GB2312" w:hAnsi="宋体" w:eastAsia="仿宋_GB2312"/>
          <w:color w:val="000000" w:themeColor="text1"/>
          <w:sz w:val="32"/>
          <w:szCs w:val="32"/>
          <w14:textFill>
            <w14:solidFill>
              <w14:schemeClr w14:val="tx1"/>
            </w14:solidFill>
          </w14:textFill>
        </w:rPr>
        <w:t>或分析性复核</w:t>
      </w:r>
      <w:r>
        <w:rPr>
          <w:rFonts w:ascii="仿宋_GB2312" w:hAnsi="宋体" w:eastAsia="仿宋_GB2312"/>
          <w:color w:val="000000" w:themeColor="text1"/>
          <w:sz w:val="32"/>
          <w:szCs w:val="32"/>
          <w14:textFill>
            <w14:solidFill>
              <w14:schemeClr w14:val="tx1"/>
            </w14:solidFill>
          </w14:textFill>
        </w:rPr>
        <w:t>。</w:t>
      </w:r>
    </w:p>
    <w:p>
      <w:pPr>
        <w:numPr>
          <w:ilvl w:val="0"/>
          <w:numId w:val="1"/>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走访或函证</w:t>
      </w:r>
    </w:p>
    <w:p>
      <w:pPr>
        <w:numPr>
          <w:ilvl w:val="255"/>
          <w:numId w:val="0"/>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如有必要，保荐人还可走访有关部门（包括市场监督管理、银行、税务、环保、土地、海关、法院等政府部门）了解具体情况，还应走访或函证发行人的主要供应商和主要客户。</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保荐人获取尽调证据时，应特别注意尽调证据的可靠性、有效性，加强对获取核查资料的必要控制。若尽职调查的方式是取得</w:t>
      </w:r>
      <w:r>
        <w:rPr>
          <w:rFonts w:ascii="仿宋_GB2312" w:hAnsi="宋体" w:eastAsia="仿宋_GB2312"/>
          <w:color w:val="000000" w:themeColor="text1"/>
          <w:sz w:val="32"/>
          <w:szCs w:val="32"/>
          <w14:textFill>
            <w14:solidFill>
              <w14:schemeClr w14:val="tx1"/>
            </w14:solidFill>
          </w14:textFill>
        </w:rPr>
        <w:t>相关文件或凭证，应当</w:t>
      </w:r>
      <w:r>
        <w:rPr>
          <w:rFonts w:hint="eastAsia" w:ascii="仿宋_GB2312" w:hAnsi="宋体" w:eastAsia="仿宋_GB2312"/>
          <w:color w:val="000000" w:themeColor="text1"/>
          <w:sz w:val="32"/>
          <w:szCs w:val="32"/>
          <w14:textFill>
            <w14:solidFill>
              <w14:schemeClr w14:val="tx1"/>
            </w14:solidFill>
          </w14:textFill>
        </w:rPr>
        <w:t>确认所取得资料的真实性</w:t>
      </w:r>
      <w:r>
        <w:rPr>
          <w:rFonts w:ascii="仿宋_GB2312" w:hAnsi="宋体" w:eastAsia="仿宋_GB2312"/>
          <w:color w:val="000000" w:themeColor="text1"/>
          <w:sz w:val="32"/>
          <w:szCs w:val="32"/>
          <w14:textFill>
            <w14:solidFill>
              <w14:schemeClr w14:val="tx1"/>
            </w14:solidFill>
          </w14:textFill>
        </w:rPr>
        <w:t>；如果是书面说明文件，则需由提供者</w:t>
      </w:r>
      <w:r>
        <w:rPr>
          <w:rFonts w:hint="eastAsia" w:ascii="仿宋_GB2312" w:hAnsi="宋体" w:eastAsia="仿宋_GB2312"/>
          <w:color w:val="000000" w:themeColor="text1"/>
          <w:sz w:val="32"/>
          <w:szCs w:val="32"/>
          <w14:textFill>
            <w14:solidFill>
              <w14:schemeClr w14:val="tx1"/>
            </w14:solidFill>
          </w14:textFill>
        </w:rPr>
        <w:t>盖章或</w:t>
      </w:r>
      <w:r>
        <w:rPr>
          <w:rFonts w:ascii="仿宋_GB2312" w:hAnsi="宋体" w:eastAsia="仿宋_GB2312"/>
          <w:color w:val="000000" w:themeColor="text1"/>
          <w:sz w:val="32"/>
          <w:szCs w:val="32"/>
          <w14:textFill>
            <w14:solidFill>
              <w14:schemeClr w14:val="tx1"/>
            </w14:solidFill>
          </w14:textFill>
        </w:rPr>
        <w:t>签字；如果采取开会讨论的形式，则</w:t>
      </w:r>
      <w:r>
        <w:rPr>
          <w:rFonts w:hint="eastAsia" w:ascii="仿宋_GB2312" w:hAnsi="宋体" w:eastAsia="仿宋_GB2312"/>
          <w:color w:val="000000" w:themeColor="text1"/>
          <w:sz w:val="32"/>
          <w:szCs w:val="32"/>
          <w14:textFill>
            <w14:solidFill>
              <w14:schemeClr w14:val="tx1"/>
            </w14:solidFill>
          </w14:textFill>
        </w:rPr>
        <w:t>原则上</w:t>
      </w:r>
      <w:r>
        <w:rPr>
          <w:rFonts w:ascii="仿宋_GB2312" w:hAnsi="宋体" w:eastAsia="仿宋_GB2312"/>
          <w:color w:val="000000" w:themeColor="text1"/>
          <w:sz w:val="32"/>
          <w:szCs w:val="32"/>
          <w14:textFill>
            <w14:solidFill>
              <w14:schemeClr w14:val="tx1"/>
            </w14:solidFill>
          </w14:textFill>
        </w:rPr>
        <w:t>应该形成会议纪要；如有其他不便形成文字或复印件的内容，可以</w:t>
      </w:r>
      <w:r>
        <w:rPr>
          <w:rFonts w:hint="eastAsia" w:ascii="仿宋_GB2312" w:hAnsi="宋体" w:eastAsia="仿宋_GB2312"/>
          <w:color w:val="000000" w:themeColor="text1"/>
          <w:sz w:val="32"/>
          <w:szCs w:val="32"/>
          <w14:textFill>
            <w14:solidFill>
              <w14:schemeClr w14:val="tx1"/>
            </w14:solidFill>
          </w14:textFill>
        </w:rPr>
        <w:t>采取</w:t>
      </w:r>
      <w:r>
        <w:rPr>
          <w:rFonts w:ascii="仿宋_GB2312" w:hAnsi="宋体" w:eastAsia="仿宋_GB2312"/>
          <w:color w:val="000000" w:themeColor="text1"/>
          <w:sz w:val="32"/>
          <w:szCs w:val="32"/>
          <w14:textFill>
            <w14:solidFill>
              <w14:schemeClr w14:val="tx1"/>
            </w14:solidFill>
          </w14:textFill>
        </w:rPr>
        <w:t>拍</w:t>
      </w:r>
      <w:r>
        <w:rPr>
          <w:rFonts w:hint="eastAsia" w:ascii="仿宋_GB2312" w:hAnsi="宋体" w:eastAsia="仿宋_GB2312"/>
          <w:color w:val="000000" w:themeColor="text1"/>
          <w:sz w:val="32"/>
          <w:szCs w:val="32"/>
          <w14:textFill>
            <w14:solidFill>
              <w14:schemeClr w14:val="tx1"/>
            </w14:solidFill>
          </w14:textFill>
        </w:rPr>
        <w:t>摄等方式</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outlineLvl w:val="2"/>
        <w:rPr>
          <w:rFonts w:ascii="仿宋_GB2312" w:hAnsi="宋体" w:eastAsia="仿宋_GB2312"/>
          <w:color w:val="000000"/>
          <w:sz w:val="32"/>
          <w:szCs w:val="32"/>
        </w:rPr>
      </w:pPr>
      <w:bookmarkStart w:id="45" w:name="_Toc76472347"/>
      <w:bookmarkStart w:id="46" w:name="_Toc105940612"/>
      <w:r>
        <w:rPr>
          <w:rFonts w:ascii="仿宋_GB2312" w:hAnsi="宋体" w:eastAsia="仿宋_GB2312"/>
          <w:color w:val="000000"/>
          <w:sz w:val="32"/>
          <w:szCs w:val="32"/>
        </w:rPr>
        <w:t xml:space="preserve">4.4  </w:t>
      </w:r>
      <w:r>
        <w:rPr>
          <w:rFonts w:hint="eastAsia" w:ascii="仿宋_GB2312" w:hAnsi="宋体" w:eastAsia="仿宋_GB2312"/>
          <w:color w:val="000000"/>
          <w:sz w:val="32"/>
          <w:szCs w:val="32"/>
        </w:rPr>
        <w:t>尽职调查的持续性</w:t>
      </w:r>
      <w:bookmarkEnd w:id="45"/>
      <w:bookmarkEnd w:id="46"/>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发行人推荐期间，保荐人及证券服务机构针对如下事项需要进行持续的尽职调查，执行适当的核查程序，审慎、客观地得出核查结论：</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1、问询或反馈意见中需要补充核查的事项；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2、举报信或媒体质疑中需要补充核查的事项；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3、发行人由于新增报告期需要补充核查的事项；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4、发行人出现业绩大幅下滑或其他新增对发行人有重大影响的事件：如重大的诉讼、仲裁、处罚等导致发行人所处经营环境发生重大不利变化的事项。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发审委会议或上市委会议通过后，发生可能对发行人是否符合发行条件、上市条件和信息披</w:t>
      </w:r>
      <w:r>
        <w:rPr>
          <w:rFonts w:ascii="仿宋_GB2312" w:hAnsi="宋体" w:eastAsia="仿宋_GB2312"/>
          <w:color w:val="000000" w:themeColor="text1"/>
          <w:sz w:val="32"/>
          <w:szCs w:val="32"/>
          <w14:textFill>
            <w14:solidFill>
              <w14:schemeClr w14:val="tx1"/>
            </w14:solidFill>
          </w14:textFill>
        </w:rPr>
        <w:t>露要求产生重大影响的</w:t>
      </w:r>
      <w:r>
        <w:rPr>
          <w:rFonts w:hint="eastAsia" w:ascii="仿宋_GB2312" w:hAnsi="宋体" w:eastAsia="仿宋_GB2312"/>
          <w:color w:val="000000" w:themeColor="text1"/>
          <w:sz w:val="32"/>
          <w:szCs w:val="32"/>
          <w14:textFill>
            <w14:solidFill>
              <w14:schemeClr w14:val="tx1"/>
            </w14:solidFill>
          </w14:textFill>
        </w:rPr>
        <w:t>重大事项的</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保荐人需要补充尽职调查并及时按照相关要求报送相关说明文件，</w:t>
      </w:r>
      <w:r>
        <w:rPr>
          <w:rFonts w:ascii="仿宋_GB2312" w:hAnsi="宋体" w:eastAsia="仿宋_GB2312"/>
          <w:color w:val="000000" w:themeColor="text1"/>
          <w:sz w:val="32"/>
          <w:szCs w:val="32"/>
          <w14:textFill>
            <w14:solidFill>
              <w14:schemeClr w14:val="tx1"/>
            </w14:solidFill>
          </w14:textFill>
        </w:rPr>
        <w:t>发行上市审核机构经重新审核后决定是否重新提交审议。</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中国证监会作出注册或核准发行的决定后至股票上市交易前，发生重大事项，可能导致发行人不符合发行条件、上市条件和信息披露要求的，保荐人需要补充尽职调查并及时按照相关要求报送相关说明文件，及时公告相关情况，说明发行人是否将暂停发行或暂缓上市。</w:t>
      </w:r>
    </w:p>
    <w:p>
      <w:pPr>
        <w:spacing w:line="360" w:lineRule="auto"/>
        <w:ind w:firstLine="640" w:firstLineChars="200"/>
        <w:outlineLvl w:val="2"/>
        <w:rPr>
          <w:rFonts w:ascii="仿宋_GB2312" w:hAnsi="宋体" w:eastAsia="仿宋_GB2312"/>
          <w:color w:val="000000"/>
          <w:sz w:val="32"/>
          <w:szCs w:val="32"/>
        </w:rPr>
      </w:pPr>
      <w:bookmarkStart w:id="47" w:name="_Toc105940613"/>
      <w:bookmarkStart w:id="48" w:name="_Toc76472348"/>
      <w:r>
        <w:rPr>
          <w:rFonts w:ascii="仿宋_GB2312" w:hAnsi="宋体" w:eastAsia="仿宋_GB2312"/>
          <w:color w:val="000000"/>
          <w:sz w:val="32"/>
          <w:szCs w:val="32"/>
        </w:rPr>
        <w:t xml:space="preserve">4.5  </w:t>
      </w:r>
      <w:bookmarkStart w:id="49" w:name="_Hlk101791314"/>
      <w:r>
        <w:rPr>
          <w:rFonts w:hint="eastAsia" w:ascii="仿宋_GB2312" w:hAnsi="宋体" w:eastAsia="仿宋_GB2312"/>
          <w:color w:val="000000"/>
          <w:sz w:val="32"/>
          <w:szCs w:val="32"/>
        </w:rPr>
        <w:t>重点或特定事项的尽职调查实践</w:t>
      </w:r>
      <w:bookmarkEnd w:id="47"/>
      <w:bookmarkEnd w:id="48"/>
      <w:bookmarkEnd w:id="49"/>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《保荐人尽职调查工作准则》对尽职调查涉及的相关事项进行了原则性的要求，本示范实践结合监管规定和行业通行的操作实践，对一些尽职调查中的重要或特殊事项的方法和要点进行列示。</w:t>
      </w:r>
    </w:p>
    <w:p>
      <w:pPr>
        <w:spacing w:line="360" w:lineRule="auto"/>
        <w:ind w:firstLine="640" w:firstLineChars="200"/>
        <w:outlineLvl w:val="2"/>
        <w:rPr>
          <w:rFonts w:ascii="仿宋_GB2312" w:hAnsi="宋体" w:eastAsia="仿宋_GB2312"/>
          <w:color w:val="000000"/>
          <w:sz w:val="32"/>
          <w:szCs w:val="32"/>
        </w:rPr>
      </w:pPr>
      <w:bookmarkStart w:id="50" w:name="_Toc105940614"/>
      <w:r>
        <w:rPr>
          <w:rFonts w:ascii="仿宋_GB2312" w:hAnsi="宋体" w:eastAsia="仿宋_GB2312"/>
          <w:color w:val="000000"/>
          <w:sz w:val="32"/>
          <w:szCs w:val="32"/>
        </w:rPr>
        <w:t xml:space="preserve">4.5.1  </w:t>
      </w:r>
      <w:r>
        <w:rPr>
          <w:rFonts w:hint="eastAsia" w:ascii="仿宋_GB2312" w:hAnsi="宋体" w:eastAsia="仿宋_GB2312"/>
          <w:color w:val="000000"/>
          <w:sz w:val="32"/>
          <w:szCs w:val="32"/>
        </w:rPr>
        <w:t>风险因素</w:t>
      </w:r>
      <w:bookmarkEnd w:id="50"/>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荐人应结合发行人业务、行业竞争、所处产业链地位等总结、提炼重要风险因素，并充分了解对发行人的影响，对发行人影响重大的风险，应进行专项核查。保荐人应尽量对上述风险因素作定量分析，对导致风险的变动性因素作敏感性分析，无法进行定量分析的，应有针对性地作出定性描述。</w:t>
      </w:r>
    </w:p>
    <w:p>
      <w:pPr>
        <w:spacing w:line="360" w:lineRule="auto"/>
        <w:ind w:firstLine="640" w:firstLineChars="200"/>
        <w:outlineLvl w:val="2"/>
        <w:rPr>
          <w:rFonts w:ascii="仿宋_GB2312" w:hAnsi="宋体" w:eastAsia="仿宋_GB2312"/>
          <w:color w:val="000000"/>
          <w:sz w:val="32"/>
          <w:szCs w:val="32"/>
        </w:rPr>
      </w:pPr>
      <w:bookmarkStart w:id="51" w:name="_Toc76472349"/>
      <w:bookmarkStart w:id="52" w:name="_Toc105940615"/>
      <w:r>
        <w:rPr>
          <w:rFonts w:ascii="仿宋_GB2312" w:hAnsi="宋体" w:eastAsia="仿宋_GB2312"/>
          <w:color w:val="000000"/>
          <w:sz w:val="32"/>
          <w:szCs w:val="32"/>
        </w:rPr>
        <w:t xml:space="preserve">4.5.2  </w:t>
      </w:r>
      <w:r>
        <w:rPr>
          <w:rFonts w:hint="eastAsia" w:ascii="仿宋_GB2312" w:hAnsi="宋体" w:eastAsia="仿宋_GB2312"/>
          <w:color w:val="000000"/>
          <w:sz w:val="32"/>
          <w:szCs w:val="32"/>
        </w:rPr>
        <w:t>历史沿革</w:t>
      </w:r>
      <w:bookmarkEnd w:id="51"/>
      <w:bookmarkEnd w:id="52"/>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增资或股权转让（非突击入股）</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调阅工商登记资料、内部审批决策文件、投资协议、股权转让价款支付凭证或情况说明、转让方缴税凭证、访谈相关人员等，核查发行人相关股东的基本情况、股权转让或增资的原因及合理性、价格及定价依据，股东增资款或股权转让款是否实际支付及资金来源，是否履行了相应的决策程序和法律规定的核准程序，涉及国有产权变动的，是否履行了相应的审批、评估、备案等法定程序，是否存在法律瑕疵，相关瑕疵是否已经补救，有关股权变动是否是双方真实意思表示，是否存在争议或潜在纠纷，是否已完成纳税义务，出资方式及出资程序是否符合当时公司法的相关规定，相关股东与发行人其他股东、董事、监事、高级管理人员、本次发行中介机构及其负责人、高级管理人员、经办人员是否存在亲属关系、关联关系、委托持股、信托持股或其他利益输送安排，相关股东是否具备法律、法规规定的股东资格。</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突击入股</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重点关注申报前</w:t>
      </w:r>
      <w:r>
        <w:rPr>
          <w:rFonts w:ascii="仿宋_GB2312" w:hAnsi="宋体" w:eastAsia="仿宋_GB2312"/>
          <w:color w:val="000000" w:themeColor="text1"/>
          <w:sz w:val="32"/>
          <w:szCs w:val="32"/>
          <w14:textFill>
            <w14:solidFill>
              <w14:schemeClr w14:val="tx1"/>
            </w14:solidFill>
          </w14:textFill>
        </w:rPr>
        <w:t>12个月内通过股权转让、增资入股发行人的新股东。对突击入股的新股东进行重点核查。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除常规核查外，还可重点关注引入新股东的原因、股权转让或增资的价格及定价依据，有关股权转让是否是双方真实意思表示，是否存在纠纷或潜在纠纷，新股东与发行人其他股东、董事、监事、高级管理人员、本次发行中介机构负责人、高级管理人员及其经办人员是否存在亲属关系、关联关系、委托持股、信托持股或其他利益输送安排，新股东是否具备法律、法规规定的股东资格。</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核查新引入股东锁定期承诺是否符合当时法律法规的规定。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根据监管要求，对股东进行进一步穿透核查，鼓励股东穿透核查取得多层级、高比例的底稿。</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非现金出资</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1）实物、土地使用权出资：取得用于出资的实物清单、权属证书、发票、评估报告、国有资产评估结果核准或备案文件（如有）、资产交割凭证等资料，分析评估值的合理性、权属转移的合</w:t>
      </w:r>
      <w:r>
        <w:rPr>
          <w:rFonts w:hint="eastAsia" w:ascii="仿宋_GB2312" w:hAnsi="宋体" w:eastAsia="仿宋_GB2312"/>
          <w:color w:val="000000" w:themeColor="text1"/>
          <w:sz w:val="32"/>
          <w:szCs w:val="32"/>
          <w14:textFill>
            <w14:solidFill>
              <w14:schemeClr w14:val="tx1"/>
            </w14:solidFill>
          </w14:textFill>
        </w:rPr>
        <w:t>规性等，并核查出资相关土地的性质，是否存在权属上的纠纷或瑕疵，是否需要补缴地价款，是否足额合规地缴纳了相关税款，是否符合土地管理相关法律法规等。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2）技术出资：取得技术出资的权属证书、评估报告、专家评审意见等</w:t>
      </w:r>
      <w:r>
        <w:rPr>
          <w:rFonts w:hint="eastAsia" w:ascii="仿宋_GB2312" w:hAnsi="宋体" w:eastAsia="仿宋_GB2312"/>
          <w:color w:val="000000" w:themeColor="text1"/>
          <w:sz w:val="32"/>
          <w:szCs w:val="32"/>
          <w14:textFill>
            <w14:solidFill>
              <w14:schemeClr w14:val="tx1"/>
            </w14:solidFill>
          </w14:textFill>
        </w:rPr>
        <w:t>，核查评估报告中的相关盈利预测是否实现，评估技术估值的合理性。详细核查是否属于职务成果，权属是否清晰，是否存在争议或潜在纠纷，相关技术出资的程序是否合法合规，出资专利与公司主营业务是否相关，是否有效转化为技术成果、实现技术效益。</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重点关注控股股东、实际控制人是否还拥有与发行人业务相关的技术，未进入发行人是否适当。</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3）出资涉及债转股的，查阅债权、股权形成的相关资料及决策程序等，调查债权债务形成的真实性、定价公允性、债转股的合法合</w:t>
      </w:r>
      <w:r>
        <w:rPr>
          <w:rFonts w:hint="eastAsia" w:ascii="仿宋_GB2312" w:hAnsi="宋体" w:eastAsia="仿宋_GB2312"/>
          <w:color w:val="000000" w:themeColor="text1"/>
          <w:sz w:val="32"/>
          <w:szCs w:val="32"/>
          <w14:textFill>
            <w14:solidFill>
              <w14:schemeClr w14:val="tx1"/>
            </w14:solidFill>
          </w14:textFill>
        </w:rPr>
        <w:t>规性。债转股股东系依据对发行人业绩的定期考核逐步转股的，应当核查转股依据的充分性。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关注实物、土地使用权和技术出资的作价是否合理，是否存在出资不实。如果存在出资不实，应取得补缴的相关资料，并对出资瑕疵事项的影响及发行人或相关股东是否因出资瑕疵受到过行政处罚、是否构成重大违法行为及本次发行的法律障碍，是否存在纠纷或潜在纠纷进行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、国有企业、集体企业改制而来的或历史上存在挂靠集体组织经营的企业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改制的相关资料，包括改制前原企业（或主要发起人）的相关财务资料及审计报告、资产和业务构成情况、上级主管部门同意改制的批复文件等，以及发行人的改制方案、人员安置方案、审计报告、评估报告等，并通过与发行人董事、监事、高级管理人员及其员工谈话，咨询中介机构等方法，核查发行人在改制时业务、资产、债务、人员等重组情况，分析判断是否符合法律、法规，是否符合证券监管、国有资产管理、税收管理、劳动保障等相关规定。如改制过程中法律依据不明确、相关程序存在瑕疵或与有关法律法规存在明显冲突，原则上还应取得有权部门关于改制程序的合法性、是否造成国有或集体资产流失的意见。国有企业、集体企业改制过程不存在上述情况的，可结合当时有效的法律法规等，分析说明有关改制行为是否经有权机关批准、法律依据是否充分、履行的程序是否合法以及对发行人的影响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改制</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有限责任公司整体变更为股份有限公司</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整体变更相关的会议资料、发起人协议、审计报告、资产评估报告、验资报告、营业执照等资料、核查是否按照原账面净资产折股，整体变更是否存在程序瑕疵或者股改发起人资格、人数、出资等情况不符合相关法律法规的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2）改制时存在未弥补亏损</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如在有限责任公司按原账面净资产值折股整体变更为股份有限公司时存在未弥补亏损，或者整体变更时不存在未弥补亏损，但因会计差错更正追溯调整报表而致使整体变更时存在未弥补亏损，了解其由有限责任公司整体变更为股份有限公司的基准日未分配利润为负的形成原因，该情形是否已消除，整体变更后的变化情况和发展趋势，与报告期内盈利水平变动的匹配关系，对未来盈利能力的影响，整体变更的具体方案及相应的会计处理、整改措施（如有），整体变更是否经董事会、股东会表决通过，相关程序是否合法合规，改制中是否存在侵害债权人合法权益情形，是否与债权人存在纠纷，是否已完成工商登记注册和税务登记相关程序，整体变更设立股份有限公司相关事项是否符合《公司法》等法律法规规定。</w:t>
      </w:r>
    </w:p>
    <w:p>
      <w:pPr>
        <w:spacing w:line="360" w:lineRule="auto"/>
        <w:ind w:firstLine="640" w:firstLineChars="200"/>
        <w:outlineLvl w:val="2"/>
        <w:rPr>
          <w:rFonts w:ascii="仿宋_GB2312" w:hAnsi="宋体" w:eastAsia="仿宋_GB2312"/>
          <w:color w:val="000000"/>
          <w:sz w:val="32"/>
          <w:szCs w:val="32"/>
        </w:rPr>
      </w:pPr>
      <w:bookmarkStart w:id="53" w:name="_Toc105940616"/>
      <w:bookmarkStart w:id="54" w:name="_Toc76472350"/>
      <w:r>
        <w:rPr>
          <w:rFonts w:ascii="仿宋_GB2312" w:hAnsi="宋体" w:eastAsia="仿宋_GB2312"/>
          <w:color w:val="000000"/>
          <w:sz w:val="32"/>
          <w:szCs w:val="32"/>
        </w:rPr>
        <w:t xml:space="preserve">4.5.3  </w:t>
      </w:r>
      <w:r>
        <w:rPr>
          <w:rFonts w:hint="eastAsia" w:ascii="仿宋_GB2312" w:hAnsi="宋体" w:eastAsia="仿宋_GB2312"/>
          <w:color w:val="000000"/>
          <w:sz w:val="32"/>
          <w:szCs w:val="32"/>
        </w:rPr>
        <w:t>股东情况</w:t>
      </w:r>
      <w:bookmarkEnd w:id="53"/>
      <w:bookmarkEnd w:id="54"/>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员工持股</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通过调阅工商登记资料、内部制度文件、查询网站、与有关人员访谈等方式，核查员工持股平台的股权结构变更及相关历史沿革、业务经营情况。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调阅工商登记资料、内部制度文件、内部审批决策文件、员工名册、劳动合同、社会保障费用明细表，与相关人员访谈等方式，核查员工持股平台出资人是否均为发行人员工，出资人的入职时间、职务以及任职年限、是否在控股股东及实际控制人持股；核查出资人范围、选定依据、出资定价依据及其合理性、是否经过全体职工或股东（大）会确认；核查国有企业职工持股、管理层持股是否符合相关规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调阅工商登记资料、内部审批决策文件、缴款证明文件、员工持股相关合同协议、与相关人员访谈等方式，核查员工持股是否涉及与发行人及实际控制人存在资金往来的情形，是否存在股东权利受限制情形；核查出资人的认缴金额、资金来源合理性，是否存在委托持股、信托持股或其他利益安排；核查员工离职或退出持股平台的原因、退出份额的定价依据、受让方的资金来源合理性、是否实际取得退出价款、对已离职未退出份额的员工有何安排、是否存在纠纷或潜在纠纷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内部职工股</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通过查阅内部职工股的审批文件、募股文件、缴款证明文件及验资报告等，</w:t>
      </w:r>
      <w:r>
        <w:rPr>
          <w:rFonts w:hint="eastAsia" w:ascii="仿宋_GB2312" w:hAnsi="宋体" w:eastAsia="仿宋_GB2312"/>
          <w:color w:val="000000" w:themeColor="text1"/>
          <w:sz w:val="32"/>
          <w:szCs w:val="32"/>
          <w14:textFill>
            <w14:solidFill>
              <w14:schemeClr w14:val="tx1"/>
            </w14:solidFill>
          </w14:textFill>
        </w:rPr>
        <w:t>必要时走访审批机构、收款银行、验资机构等，</w:t>
      </w:r>
      <w:r>
        <w:rPr>
          <w:rFonts w:ascii="仿宋_GB2312" w:hAnsi="宋体" w:eastAsia="仿宋_GB2312"/>
          <w:color w:val="000000" w:themeColor="text1"/>
          <w:sz w:val="32"/>
          <w:szCs w:val="32"/>
          <w14:textFill>
            <w14:solidFill>
              <w14:schemeClr w14:val="tx1"/>
            </w14:solidFill>
          </w14:textFill>
        </w:rPr>
        <w:t>调查发行的合法性、真实性；就内部职工股形成过程和原因，查阅相关法律法规，分析判断是否符合当时的法律规定，是否经过有关部门确认为合格股东，是否符合行业主管部门相关规定（如《关于规范金融企业内部职工持股的通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调阅工商登记资料、发行人三会文件、相关股份形成及演变的法律文件，并与发行人员工和董监高人员谈话，调查发行人是否存在委托持股、信托持股或股东数量超过二百人的情况；核查内部职工股的实际权益人的历次变动情况及原因，转让是否损害职工利益。</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存在托管情形的，取得及查阅内部职工股历年托管证明文件，必要时走访托管机构，调查内部职工股的托管、转让情况；存在清理规范情形的，取得相关的协议文件、决策文件、价款支付凭证等，调查是否存在潜在问题和风险隐患，是否已明确有关责任承担主体；通过查阅决策程序文件、相关部门审批文件，核查是否就托管、清理情况履行工会和职工持股会的成员大会表决程序、是否经过上级、行业主管部门的核准。调查发行人控股股东或实际控制人存在职工持股会或工会持股情形的，是否按照相关要求予以清理。</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与相关人员访谈、查阅发行相关文件、内部审批文件等，调查内部职工股发行过程中是否存在违法违规情况，包括超范围、超比例发行，通过增发、配股、国家股和法人股转配等形式变相增加内部职工股，内部职工股转让和交易中的违法违规，法人股个人化等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与相关人员访谈、查阅发行相关文件、查询网站等方式，分析是否存在现时或潜在的诉讼、纠纷，以及重大风险隐患对发行人的影响；对于存在现时或潜在的诉讼、纠纷的，应核查是否提出明确、可行的解决措施，核查相关纠纷对发行人股权清晰稳定的影响、核查解决措施的可行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外资股东</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查阅外资股东工商登记资料、公司章程、股东间协议等文件、与相关人员访谈，核查外资股东的股权结构、治理结构；核查股份权属是否清晰，是否存在类别股份、类别股份的权利内容及差异，分析该等情况对发行人股权结构的影响；核查外资股东是否存在委托持股、信托持股、代持等情形；通过查阅境外监管机构或境外律师的意见，确认外资股东是否符合境外所在地的设立经营和投融资的法律要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查阅发行人业务经营相关的详细资料，包括但不限于工商登记文件、业务资质、业务合同等，核查发行人所从事行业是否存在外资准入限制，是否存在规避外资产业政策的情形；核查外资股东的入股历史是否符合当时有效的《指导外商投资方向规定》《外商投资产业指导目录》《中西部地区外商投资优势产业目录》《商务部实施外国投资者并购境内企业安全审查制度的规定》《外商投资安全审查办法》等相关规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查阅外资股东的工商登记文件、公司章程和合资合同、相关主管部门出具的文件等，核查外资股东是否已办理发改、商务、外管、市场监督等主管机构对外资企业设立、变更事项的审批、备案、报告等程序；查阅内部决策文件、监管部门审批文件、银行单据、缴税文件、验资报告、评估报告等，核查外资股东的设立出资、增资的出资来源及合法性，出资程序、出资比例、期限是否符合商务批复、外汇管理、相关公司章程和合资合同的有关规定，实物出资是否完税、评估并实际交付或办理权属变更登记，注册资本是否真实、充实。对于经营期未满十年从外资转内资的企业，还需要调查和了解发行人纳税情况是否符合相关规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外资股东的实际控制人为境内自然人的，应核查保留境外公司间接持股发行人的必要性、合理性、持股的真实性、是否存在委托、信托持股、是否有各种影响控股权的约定。返程投资是否按规定办理了境外投资外汇登记和外资外汇登记、境外投资核准登记手续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通过查阅相关银行缴款凭证、外汇管理部门出具的文件等，核查境内自然人汇款到境外的具体方法和途径，是否经过有关外汇管理部门的批准，是否存在被相关外汇管理部门处罚的风险。</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契约型资产管理产品、契约型私募投资基金</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若发行人的股东中存在</w:t>
      </w:r>
      <w:r>
        <w:rPr>
          <w:rFonts w:ascii="仿宋_GB2312" w:hAnsi="宋体" w:eastAsia="仿宋_GB2312"/>
          <w:color w:val="000000"/>
          <w:sz w:val="32"/>
          <w:szCs w:val="32"/>
        </w:rPr>
        <w:t>契约型资产管理产品、契约型私募投资基金</w:t>
      </w:r>
      <w:r>
        <w:rPr>
          <w:rFonts w:hint="eastAsia" w:ascii="仿宋_GB2312" w:hAnsi="宋体" w:eastAsia="仿宋_GB2312"/>
          <w:color w:val="000000" w:themeColor="text1"/>
          <w:sz w:val="32"/>
          <w:szCs w:val="32"/>
          <w14:textFill>
            <w14:solidFill>
              <w14:schemeClr w14:val="tx1"/>
            </w14:solidFill>
          </w14:textFill>
        </w:rPr>
        <w:t>，要结合相关法律法规，核查上述股东作为发行人股东的适格性，特别关注公司控股股东、实际控制人、第一大股东是否为</w:t>
      </w:r>
      <w:r>
        <w:rPr>
          <w:rFonts w:ascii="仿宋_GB2312" w:hAnsi="宋体" w:eastAsia="仿宋_GB2312"/>
          <w:color w:val="000000"/>
          <w:sz w:val="32"/>
          <w:szCs w:val="32"/>
        </w:rPr>
        <w:t>契约型资产管理产品、契约型私募投资基金</w:t>
      </w:r>
      <w:r>
        <w:rPr>
          <w:rFonts w:hint="eastAsia" w:ascii="仿宋_GB2312" w:hAnsi="宋体" w:eastAsia="仿宋_GB2312"/>
          <w:color w:val="000000" w:themeColor="text1"/>
          <w:sz w:val="32"/>
          <w:szCs w:val="32"/>
          <w14:textFill>
            <w14:solidFill>
              <w14:schemeClr w14:val="tx1"/>
            </w14:solidFill>
          </w14:textFill>
        </w:rPr>
        <w:t>，是否符合相关规定的要求。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核查证券公司、基金公司、资管公司、信托公司、保险公司等金融机构直接或间接持股的资金来源是否自有资金，是否符合相关的行业监管规定。核查作为发行人股东的</w:t>
      </w:r>
      <w:r>
        <w:rPr>
          <w:rFonts w:ascii="仿宋_GB2312" w:hAnsi="宋体" w:eastAsia="仿宋_GB2312"/>
          <w:color w:val="000000"/>
          <w:sz w:val="32"/>
          <w:szCs w:val="32"/>
        </w:rPr>
        <w:t>契约型资产管理产品、契约型私募投资基金</w:t>
      </w:r>
      <w:r>
        <w:rPr>
          <w:rFonts w:hint="eastAsia" w:ascii="仿宋_GB2312" w:hAnsi="宋体" w:eastAsia="仿宋_GB2312"/>
          <w:color w:val="000000" w:themeColor="text1"/>
          <w:sz w:val="32"/>
          <w:szCs w:val="32"/>
          <w14:textFill>
            <w14:solidFill>
              <w14:schemeClr w14:val="tx1"/>
            </w14:solidFill>
          </w14:textFill>
        </w:rPr>
        <w:t>是否纳入国家金融监管部门有效监管，且已按照规定履行审批、备案或报告程序，其管理人是否已依法注册登记，是否符合《中国人民银行、银监会、证监会、保监会、外汇局关于规范金融机构资产管理业务的指导意见》等相关监管要求，特别是关于资产管理产品杠杆、分级和嵌套的要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sz w:val="32"/>
          <w:szCs w:val="32"/>
        </w:rPr>
        <w:t>对于通过协议转让、特定事项协议转让和大宗交易方式形成的契约型资产管理产品、契约型私募投资基金股东，</w:t>
      </w:r>
      <w:r>
        <w:rPr>
          <w:rFonts w:hint="eastAsia" w:ascii="仿宋_GB2312" w:hAnsi="宋体" w:eastAsia="仿宋_GB2312"/>
          <w:color w:val="000000" w:themeColor="text1"/>
          <w:sz w:val="32"/>
          <w:szCs w:val="32"/>
          <w14:textFill>
            <w14:solidFill>
              <w14:schemeClr w14:val="tx1"/>
            </w14:solidFill>
          </w14:textFill>
        </w:rPr>
        <w:t>通过访谈、获得调查问卷、最终股东的身份证明文件等方式，</w:t>
      </w:r>
      <w:r>
        <w:rPr>
          <w:rFonts w:ascii="仿宋_GB2312" w:hAnsi="宋体" w:eastAsia="仿宋_GB2312"/>
          <w:color w:val="000000"/>
          <w:sz w:val="32"/>
          <w:szCs w:val="32"/>
        </w:rPr>
        <w:t>核查发行人</w:t>
      </w:r>
      <w:r>
        <w:rPr>
          <w:rFonts w:hint="eastAsia" w:ascii="仿宋_GB2312" w:hAnsi="宋体" w:eastAsia="仿宋_GB2312"/>
          <w:color w:val="000000"/>
          <w:sz w:val="32"/>
          <w:szCs w:val="32"/>
        </w:rPr>
        <w:t>控股股东、实际控制人、董事、监事、高级管理人员及其近亲属，本次发行的中介机构及其负责人、高级管理人员、经办人员是否直接或间接在该等</w:t>
      </w:r>
      <w:r>
        <w:rPr>
          <w:rFonts w:ascii="仿宋_GB2312" w:hAnsi="宋体" w:eastAsia="仿宋_GB2312"/>
          <w:color w:val="000000"/>
          <w:sz w:val="32"/>
          <w:szCs w:val="32"/>
        </w:rPr>
        <w:t>契约型</w:t>
      </w:r>
      <w:r>
        <w:rPr>
          <w:rFonts w:hint="eastAsia" w:ascii="仿宋_GB2312" w:hAnsi="宋体" w:eastAsia="仿宋_GB2312"/>
          <w:color w:val="000000"/>
          <w:sz w:val="32"/>
          <w:szCs w:val="32"/>
        </w:rPr>
        <w:t>资产管理产品、契约型私募投资基金中持有权益</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w:t>
      </w:r>
      <w:r>
        <w:rPr>
          <w:rFonts w:hint="eastAsia" w:ascii="仿宋_GB2312" w:hAnsi="宋体" w:eastAsia="仿宋_GB2312"/>
          <w:color w:val="000000"/>
          <w:sz w:val="32"/>
          <w:szCs w:val="32"/>
        </w:rPr>
        <w:t>契约型资产管理产品、契约型私募投资基金股东</w:t>
      </w:r>
      <w:r>
        <w:rPr>
          <w:rFonts w:hint="eastAsia" w:ascii="仿宋_GB2312" w:hAnsi="宋体" w:eastAsia="仿宋_GB2312"/>
          <w:color w:val="000000" w:themeColor="text1"/>
          <w:sz w:val="32"/>
          <w:szCs w:val="32"/>
          <w14:textFill>
            <w14:solidFill>
              <w14:schemeClr w14:val="tx1"/>
            </w14:solidFill>
          </w14:textFill>
        </w:rPr>
        <w:t>的存续期及续期，是否符合现行发行人股份锁定期和减持规则要求。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自然人股东核查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填写调查函、访谈、查询公开信息、检查身份证明文件及境外居留权证明文件、了解工作经历等方式核查自然人股东的适格性，包括是否具备完全民事行为能力，是否为服刑人员、或被剥夺政治权利的自然人，是否存在市场禁入者、党政机关干部职工及其配偶子女、国有企业干部职工及其配偶子女、现役军人、银行工作人员、中国证监会离职人员等各类根据相关规定禁止或限制持股的情况，重点核查入股时以及申报前是否违反禁止性规定，关注入股资金来源，关于入股背景，是否存在利用职务便利低价入股或利益交换的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是否存在股权争议的核查，抽取一定比例的自然人股东进行访谈，特别是对信托持股、委托持股等情形的当事人访谈确认是否存在争议或纠纷。鼓励尽量提高自然人股东访谈覆盖比例，抽样时考虑重要性和异常性标准。</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股东是否存在代持、委托持股、关联关系及对赌等其他利益关系</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取得并查看出资凭证、出资协议、入股价格、分红去向、支付方式、股东调查函、访谈等核查股东是否存在代持、委托持股及对赌等其他利益关系；通过取得身份证明资料、调查函、客户及供应商清单及进行网络查询等方式，核查发行人股东之间及股东与发行人其他关联方、客户、供应商、本次发行中介机构及其负责人、高级管理人员、经办人员等是否存在关联关系。重点核查事项如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1）是否存在委托、信托持股或其他</w:t>
      </w:r>
      <w:r>
        <w:rPr>
          <w:rFonts w:hint="eastAsia" w:ascii="仿宋_GB2312" w:hAnsi="宋体" w:eastAsia="仿宋_GB2312"/>
          <w:color w:val="000000" w:themeColor="text1"/>
          <w:sz w:val="32"/>
          <w:szCs w:val="32"/>
          <w14:textFill>
            <w14:solidFill>
              <w14:schemeClr w14:val="tx1"/>
            </w14:solidFill>
          </w14:textFill>
        </w:rPr>
        <w:t>代持等情况核查</w:t>
      </w:r>
    </w:p>
    <w:p>
      <w:pPr>
        <w:spacing w:line="360" w:lineRule="auto"/>
        <w:ind w:firstLine="640" w:firstLineChars="200"/>
        <w:rPr>
          <w:rFonts w:ascii="仿宋_GB2312" w:hAnsi="宋体" w:eastAsia="仿宋_GB2312"/>
          <w:color w:val="000000"/>
          <w:sz w:val="32"/>
          <w:szCs w:val="32"/>
        </w:rPr>
      </w:pPr>
      <w:r>
        <w:rPr>
          <w:rFonts w:ascii="宋体" w:hAnsi="宋体" w:cs="宋体"/>
          <w:color w:val="000000"/>
          <w:sz w:val="32"/>
          <w:szCs w:val="32"/>
        </w:rPr>
        <w:t>1）</w:t>
      </w:r>
      <w:r>
        <w:rPr>
          <w:rFonts w:hint="eastAsia" w:ascii="仿宋_GB2312" w:hAnsi="宋体" w:eastAsia="仿宋_GB2312"/>
          <w:color w:val="000000"/>
          <w:sz w:val="32"/>
          <w:szCs w:val="32"/>
        </w:rPr>
        <w:t>核查代持形成的原因，代持方与被代持方的基本情况，二者之间的关系，结合被代持人的工作经历和收入情况判断其委托他人代为持股的真实性；</w:t>
      </w:r>
    </w:p>
    <w:p>
      <w:pPr>
        <w:spacing w:line="360" w:lineRule="auto"/>
        <w:ind w:firstLine="640" w:firstLineChars="200"/>
        <w:rPr>
          <w:rFonts w:ascii="仿宋_GB2312" w:hAnsi="宋体" w:eastAsia="仿宋_GB2312"/>
          <w:color w:val="000000"/>
          <w:sz w:val="32"/>
          <w:szCs w:val="32"/>
        </w:rPr>
      </w:pPr>
      <w:r>
        <w:rPr>
          <w:rFonts w:ascii="宋体" w:hAnsi="宋体" w:cs="宋体"/>
          <w:color w:val="000000"/>
          <w:sz w:val="32"/>
          <w:szCs w:val="32"/>
        </w:rPr>
        <w:t>2）</w:t>
      </w:r>
      <w:r>
        <w:rPr>
          <w:rFonts w:hint="eastAsia" w:ascii="仿宋_GB2312" w:hAnsi="宋体" w:eastAsia="仿宋_GB2312"/>
          <w:color w:val="000000"/>
          <w:sz w:val="32"/>
          <w:szCs w:val="32"/>
        </w:rPr>
        <w:t>核查代持之初的代持协议签署、原始出资情况；核查代持存续期间的历次分红和代持变动情况，并分析说明界定代持关系依据是否充分，代持关系是否真实、有效；</w:t>
      </w:r>
    </w:p>
    <w:p>
      <w:pPr>
        <w:spacing w:line="360" w:lineRule="auto"/>
        <w:ind w:firstLine="640" w:firstLineChars="200"/>
        <w:rPr>
          <w:rFonts w:ascii="仿宋_GB2312" w:hAnsi="宋体" w:eastAsia="仿宋_GB2312"/>
          <w:color w:val="000000"/>
          <w:sz w:val="32"/>
          <w:szCs w:val="32"/>
        </w:rPr>
      </w:pPr>
      <w:r>
        <w:rPr>
          <w:rFonts w:ascii="宋体" w:hAnsi="宋体" w:cs="宋体"/>
          <w:color w:val="000000"/>
          <w:sz w:val="32"/>
          <w:szCs w:val="32"/>
        </w:rPr>
        <w:t>3）</w:t>
      </w:r>
      <w:r>
        <w:rPr>
          <w:rFonts w:hint="eastAsia" w:ascii="仿宋_GB2312" w:hAnsi="宋体" w:eastAsia="仿宋_GB2312"/>
          <w:color w:val="000000"/>
          <w:sz w:val="32"/>
          <w:szCs w:val="32"/>
        </w:rPr>
        <w:t>核查代持清理情况：核查清理过程中内部决策程序是否合法有效，核查清理</w:t>
      </w:r>
      <w:r>
        <w:rPr>
          <w:rFonts w:ascii="仿宋_GB2312" w:hAnsi="宋体" w:eastAsia="仿宋_GB2312"/>
          <w:color w:val="000000"/>
          <w:sz w:val="32"/>
          <w:szCs w:val="32"/>
        </w:rPr>
        <w:t>/退出原则确定，核查退出协议和对</w:t>
      </w:r>
      <w:r>
        <w:rPr>
          <w:rFonts w:hint="eastAsia" w:ascii="仿宋_GB2312" w:hAnsi="宋体" w:eastAsia="仿宋_GB2312"/>
          <w:color w:val="000000"/>
          <w:sz w:val="32"/>
          <w:szCs w:val="32"/>
        </w:rPr>
        <w:t>价支付情况，核查股权收购方的资金来源，核查清理过程是否程序合法有效，律师是否出具核查意见，最终判断代持清理过程是否会造成发行人的潜在股权纠纷或影响其股权稳定；</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特别关注员工持股清理的真实性和彻底性，结合股东收购方家庭背景、任职</w:t>
      </w:r>
      <w:r>
        <w:rPr>
          <w:rFonts w:ascii="仿宋_GB2312" w:hAnsi="宋体" w:eastAsia="仿宋_GB2312"/>
          <w:color w:val="000000"/>
          <w:sz w:val="32"/>
          <w:szCs w:val="32"/>
        </w:rPr>
        <w:t>/创业经历</w:t>
      </w:r>
      <w:r>
        <w:rPr>
          <w:rFonts w:hint="eastAsia" w:ascii="仿宋_GB2312" w:hAnsi="宋体" w:eastAsia="仿宋_GB2312"/>
          <w:color w:val="000000"/>
          <w:sz w:val="32"/>
          <w:szCs w:val="32"/>
        </w:rPr>
        <w:t>等判断其收购款是否为自有资金，并分析说明其股权转让的真实有效性，是否存在“假清理、真代持”的情况；</w:t>
      </w:r>
    </w:p>
    <w:p>
      <w:pPr>
        <w:spacing w:line="360" w:lineRule="auto"/>
        <w:ind w:firstLine="640" w:firstLineChars="200"/>
        <w:rPr>
          <w:rFonts w:ascii="仿宋_GB2312" w:hAnsi="宋体" w:eastAsia="仿宋_GB2312"/>
          <w:color w:val="000000"/>
          <w:sz w:val="32"/>
          <w:szCs w:val="32"/>
        </w:rPr>
      </w:pPr>
      <w:r>
        <w:rPr>
          <w:rFonts w:ascii="宋体" w:hAnsi="宋体" w:cs="宋体"/>
          <w:color w:val="000000"/>
          <w:sz w:val="32"/>
          <w:szCs w:val="32"/>
        </w:rPr>
        <w:t>4）</w:t>
      </w:r>
      <w:r>
        <w:rPr>
          <w:rFonts w:hint="eastAsia" w:ascii="仿宋_GB2312" w:hAnsi="宋体" w:eastAsia="仿宋_GB2312"/>
          <w:color w:val="000000"/>
          <w:sz w:val="32"/>
          <w:szCs w:val="32"/>
        </w:rPr>
        <w:t>核查代持清理过程中，发行人股权结构是否发生重大变化，是否影响实控人判断，通常不应以股东间存在代持关系为由，认定公司控制权未发生变化。</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2）对赌协议等类似</w:t>
      </w:r>
      <w:r>
        <w:rPr>
          <w:rFonts w:hint="eastAsia" w:ascii="仿宋_GB2312" w:hAnsi="宋体" w:eastAsia="仿宋_GB2312"/>
          <w:color w:val="000000"/>
          <w:sz w:val="32"/>
          <w:szCs w:val="32"/>
        </w:rPr>
        <w:t>安排的核查</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核查发行人与投资机构存在的对赌协议，关注发行人是否为协议当事人、对赌协议是否存在可能导致控制权变化的约定、是否与市值挂钩、是否存在严重影响发行人持续经营能力或者其他严重影响投资者权益的情形；</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2）核查对赌协议终止情况，相关决策程序及签署情况等；</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3）核查相关工商登记信息，特别关注备查协议中是否存在交易对价、支付方式、估值调整等权利义务安排。</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3）股东与其他方的关联关系核查</w:t>
      </w:r>
    </w:p>
    <w:p>
      <w:pPr>
        <w:spacing w:line="360" w:lineRule="auto"/>
        <w:ind w:firstLine="640" w:firstLineChars="200"/>
        <w:rPr>
          <w:rFonts w:ascii="仿宋_GB2312" w:hAnsi="宋体" w:eastAsia="仿宋_GB2312"/>
          <w:color w:val="000000"/>
          <w:sz w:val="32"/>
          <w:szCs w:val="32"/>
        </w:rPr>
      </w:pPr>
      <w:r>
        <w:rPr>
          <w:rFonts w:ascii="宋体" w:hAnsi="宋体" w:cs="宋体"/>
          <w:color w:val="000000"/>
          <w:sz w:val="32"/>
          <w:szCs w:val="32"/>
        </w:rPr>
        <w:t>1）</w:t>
      </w:r>
      <w:r>
        <w:rPr>
          <w:rFonts w:hint="eastAsia" w:ascii="仿宋_GB2312" w:hAnsi="宋体" w:eastAsia="仿宋_GB2312"/>
          <w:color w:val="000000"/>
          <w:sz w:val="32"/>
          <w:szCs w:val="32"/>
        </w:rPr>
        <w:t>核查是否与发行人其他股东（包括控股股东和实际控制人）、发行人的董监高存在亲属或关联关系；</w:t>
      </w:r>
    </w:p>
    <w:p>
      <w:pPr>
        <w:spacing w:line="360" w:lineRule="auto"/>
        <w:ind w:firstLine="640" w:firstLineChars="200"/>
        <w:rPr>
          <w:rFonts w:ascii="仿宋_GB2312" w:hAnsi="宋体" w:eastAsia="仿宋_GB2312"/>
          <w:color w:val="000000"/>
          <w:sz w:val="32"/>
          <w:szCs w:val="32"/>
        </w:rPr>
      </w:pPr>
      <w:r>
        <w:rPr>
          <w:rFonts w:ascii="仿宋" w:hAnsi="仿宋" w:eastAsia="仿宋"/>
          <w:color w:val="000000"/>
          <w:sz w:val="32"/>
          <w:szCs w:val="32"/>
        </w:rPr>
        <w:t>2）</w:t>
      </w:r>
      <w:r>
        <w:rPr>
          <w:rFonts w:hint="eastAsia" w:ascii="仿宋_GB2312" w:hAnsi="宋体" w:eastAsia="仿宋_GB2312"/>
          <w:color w:val="000000"/>
          <w:sz w:val="32"/>
          <w:szCs w:val="32"/>
        </w:rPr>
        <w:t>核查是否与发行人的经销商、供应商、主要客户存在亲属或关联关系；</w:t>
      </w:r>
    </w:p>
    <w:p>
      <w:pPr>
        <w:spacing w:line="360" w:lineRule="auto"/>
        <w:ind w:firstLine="640" w:firstLineChars="200"/>
        <w:rPr>
          <w:rFonts w:ascii="仿宋_GB2312" w:hAnsi="宋体" w:eastAsia="仿宋_GB2312"/>
          <w:color w:val="000000"/>
          <w:sz w:val="32"/>
          <w:szCs w:val="32"/>
        </w:rPr>
      </w:pPr>
      <w:r>
        <w:rPr>
          <w:rFonts w:ascii="宋体" w:hAnsi="宋体" w:cs="宋体"/>
          <w:color w:val="000000"/>
          <w:sz w:val="32"/>
          <w:szCs w:val="32"/>
        </w:rPr>
        <w:t>3）</w:t>
      </w:r>
      <w:r>
        <w:rPr>
          <w:rFonts w:hint="eastAsia" w:ascii="仿宋_GB2312" w:hAnsi="宋体" w:eastAsia="仿宋_GB2312"/>
          <w:color w:val="000000"/>
          <w:sz w:val="32"/>
          <w:szCs w:val="32"/>
        </w:rPr>
        <w:t>核查是否与本次发行的中介机构及其负责人、高级管理人员、经办人员存在亲属或关联关系；</w:t>
      </w:r>
    </w:p>
    <w:p>
      <w:pPr>
        <w:spacing w:line="360" w:lineRule="auto"/>
        <w:ind w:firstLine="640" w:firstLineChars="200"/>
        <w:rPr>
          <w:rFonts w:ascii="仿宋_GB2312" w:hAnsi="宋体" w:eastAsia="仿宋_GB2312"/>
          <w:color w:val="000000"/>
          <w:sz w:val="32"/>
          <w:szCs w:val="32"/>
        </w:rPr>
      </w:pPr>
      <w:r>
        <w:rPr>
          <w:rFonts w:ascii="宋体" w:hAnsi="宋体" w:cs="宋体"/>
          <w:color w:val="000000"/>
          <w:sz w:val="32"/>
          <w:szCs w:val="32"/>
        </w:rPr>
        <w:t>4）</w:t>
      </w:r>
      <w:r>
        <w:rPr>
          <w:rFonts w:hint="eastAsia" w:ascii="仿宋_GB2312" w:hAnsi="宋体" w:eastAsia="仿宋_GB2312"/>
          <w:color w:val="000000"/>
          <w:sz w:val="32"/>
          <w:szCs w:val="32"/>
        </w:rPr>
        <w:t>对于存在关联关系的，应当核查关联方之间的交易真实性和价格公允性，核查并分析是否存在利益倾斜或输送、操纵利润的情况，以及该等关系是否对发行人业务独立性、交易公允性以及业绩真实、稳定性构成影响。</w:t>
      </w:r>
    </w:p>
    <w:p>
      <w:pPr>
        <w:spacing w:line="360" w:lineRule="auto"/>
        <w:ind w:firstLine="640" w:firstLineChars="200"/>
        <w:outlineLvl w:val="2"/>
        <w:rPr>
          <w:rFonts w:ascii="仿宋_GB2312" w:hAnsi="宋体" w:eastAsia="仿宋_GB2312"/>
          <w:color w:val="000000"/>
          <w:sz w:val="32"/>
          <w:szCs w:val="32"/>
        </w:rPr>
      </w:pPr>
      <w:bookmarkStart w:id="55" w:name="_Toc76472351"/>
      <w:bookmarkStart w:id="56" w:name="_Toc105940617"/>
      <w:r>
        <w:rPr>
          <w:rFonts w:ascii="仿宋_GB2312" w:hAnsi="宋体" w:eastAsia="仿宋_GB2312"/>
          <w:color w:val="000000"/>
          <w:sz w:val="32"/>
          <w:szCs w:val="32"/>
        </w:rPr>
        <w:t xml:space="preserve">4.5.4  </w:t>
      </w:r>
      <w:r>
        <w:rPr>
          <w:rFonts w:hint="eastAsia" w:ascii="仿宋_GB2312" w:hAnsi="宋体" w:eastAsia="仿宋_GB2312"/>
          <w:color w:val="000000"/>
          <w:sz w:val="32"/>
          <w:szCs w:val="32"/>
        </w:rPr>
        <w:t>红筹架构</w:t>
      </w:r>
      <w:bookmarkEnd w:id="55"/>
      <w:bookmarkEnd w:id="56"/>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1、私有化（已上市）、回购境外投资者股权（未上市）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私有化主体引入财务投资者股东的，结合增资协议等约定，核查该等股东身份和资金来源的合法性；核查股东权利义务约定，是否存在对赌、一票否决、特别表决权、股东之间其他特殊利益安排，并结合上述情况核查发行人的股权是否清晰，是否存在潜在争议。</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私有化主体向金融机构融资的，结合融资相关的协议，核查融资资金来源及合法性，融资金额、利率、资金出入境的审批程序；核查融资款项偿还情况，是否存在尚未偿还的款项，融资人的偿债能力情况；核查是否存在发行人直接间接股权的已质押和承诺上市后质押的情况、对股权结构及公司治理结构的影响；核查是否存在发行人经营性资产的质押情况、对资产权属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私有化过程是否符合境内外法律法规、境外交易所监管要求、公司章程、私有化方案的约定，是否有潜在法律风险；是否存在境外上市主体与境外股东之间的诉讼或其他纠纷、进一步核查对发行人、主要股东和实际控制人及董事、监事、高级管理人员、核心技术人员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已境外融资但未上市的，应关注实际控制人回购境外投资者股权以及纳税等情况，对实际控制人引入投资者、举债融资、与境外投资者利益冲突解决等方面参照上述内容核查。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2、红筹架构的搭建、拆除</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核查红筹架构搭建、历次股权变动和拆除（如有）过程是否符合商务、税务、外汇、市场监督等有关规定，是否存在违法违规情形；核查红筹架构拆除是否彻底，</w:t>
      </w:r>
      <w:r>
        <w:rPr>
          <w:rFonts w:ascii="仿宋_GB2312" w:hAnsi="宋体" w:eastAsia="仿宋_GB2312"/>
          <w:color w:val="000000" w:themeColor="text1"/>
          <w:sz w:val="32"/>
          <w:szCs w:val="32"/>
          <w14:textFill>
            <w14:solidFill>
              <w14:schemeClr w14:val="tx1"/>
            </w14:solidFill>
          </w14:textFill>
        </w:rPr>
        <w:t>是否存在未了</w:t>
      </w:r>
      <w:r>
        <w:rPr>
          <w:rFonts w:hint="eastAsia" w:ascii="仿宋_GB2312" w:hAnsi="宋体" w:eastAsia="仿宋_GB2312"/>
          <w:color w:val="000000" w:themeColor="text1"/>
          <w:sz w:val="32"/>
          <w:szCs w:val="32"/>
          <w14:textFill>
            <w14:solidFill>
              <w14:schemeClr w14:val="tx1"/>
            </w14:solidFill>
          </w14:textFill>
        </w:rPr>
        <w:t>结</w:t>
      </w:r>
      <w:r>
        <w:rPr>
          <w:rFonts w:ascii="仿宋_GB2312" w:hAnsi="宋体" w:eastAsia="仿宋_GB2312"/>
          <w:color w:val="000000" w:themeColor="text1"/>
          <w:sz w:val="32"/>
          <w:szCs w:val="32"/>
          <w14:textFill>
            <w14:solidFill>
              <w14:schemeClr w14:val="tx1"/>
            </w14:solidFill>
          </w14:textFill>
        </w:rPr>
        <w:t>的</w:t>
      </w:r>
      <w:r>
        <w:rPr>
          <w:rFonts w:hint="eastAsia" w:ascii="仿宋_GB2312" w:hAnsi="宋体" w:eastAsia="仿宋_GB2312"/>
          <w:color w:val="000000" w:themeColor="text1"/>
          <w:sz w:val="32"/>
          <w:szCs w:val="32"/>
          <w14:textFill>
            <w14:solidFill>
              <w14:schemeClr w14:val="tx1"/>
            </w14:solidFill>
          </w14:textFill>
        </w:rPr>
        <w:t>债权</w:t>
      </w:r>
      <w:r>
        <w:rPr>
          <w:rFonts w:ascii="仿宋_GB2312" w:hAnsi="宋体" w:eastAsia="仿宋_GB2312"/>
          <w:color w:val="000000" w:themeColor="text1"/>
          <w:sz w:val="32"/>
          <w:szCs w:val="32"/>
          <w14:textFill>
            <w14:solidFill>
              <w14:schemeClr w14:val="tx1"/>
            </w14:solidFill>
          </w14:textFill>
        </w:rPr>
        <w:t>债务及其他潜在纠纷</w:t>
      </w:r>
      <w:r>
        <w:rPr>
          <w:rFonts w:hint="eastAsia" w:ascii="仿宋_GB2312" w:hAnsi="宋体" w:eastAsia="仿宋_GB2312"/>
          <w:color w:val="000000" w:themeColor="text1"/>
          <w:sz w:val="32"/>
          <w:szCs w:val="32"/>
          <w14:textFill>
            <w14:solidFill>
              <w14:schemeClr w14:val="tx1"/>
            </w14:solidFill>
          </w14:textFill>
        </w:rPr>
        <w:t>；核查红筹架构中境内外相关股东情况、相关协议执行情况、拆除后标的资产股权权属是否清晰、拆除前后的控制关系、是否存在诉讼等法律风险；核查红筹、</w:t>
      </w:r>
      <w:r>
        <w:rPr>
          <w:rFonts w:ascii="仿宋_GB2312" w:hAnsi="宋体" w:eastAsia="仿宋_GB2312"/>
          <w:color w:val="000000" w:themeColor="text1"/>
          <w:sz w:val="32"/>
          <w:szCs w:val="32"/>
          <w14:textFill>
            <w14:solidFill>
              <w14:schemeClr w14:val="tx1"/>
            </w14:solidFill>
          </w14:textFill>
        </w:rPr>
        <w:t>VIE架构中所有境外主体的存续和处置情况，是否存在重大违法违规情形。</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红筹架构拆除过程中及拆除后涉及资产重组，核查重组后发行人是否具备业务独立性、是否存在同业竞争或潜在同业竞争、关联交易是否显失公允；核查红筹架构拆除后，标的资产的生产经营是否符合国家产业政策相关法律法规等规定；核查红筹架构拆除是否导致标的资产近</w:t>
      </w:r>
      <w:r>
        <w:rPr>
          <w:rFonts w:ascii="仿宋_GB2312" w:hAnsi="宋体" w:eastAsia="仿宋_GB2312"/>
          <w:color w:val="000000" w:themeColor="text1"/>
          <w:sz w:val="32"/>
          <w:szCs w:val="32"/>
          <w14:textFill>
            <w14:solidFill>
              <w14:schemeClr w14:val="tx1"/>
            </w14:solidFill>
          </w14:textFill>
        </w:rPr>
        <w:t>3年/2</w:t>
      </w:r>
      <w:r>
        <w:rPr>
          <w:rFonts w:hint="eastAsia" w:ascii="仿宋_GB2312" w:hAnsi="宋体" w:eastAsia="仿宋_GB2312"/>
          <w:color w:val="000000" w:themeColor="text1"/>
          <w:sz w:val="32"/>
          <w:szCs w:val="32"/>
          <w14:textFill>
            <w14:solidFill>
              <w14:schemeClr w14:val="tx1"/>
            </w14:solidFill>
          </w14:textFill>
        </w:rPr>
        <w:t>年主营业务、实际控制人以及董事、高级管理人员（及核心技术人员）发生重大变化，是否符合《首次公开发行股票并上市管理办法》《科创板首次公开发行股票注册管理办法（试行）》及《创业板首次公开发行股票注册管理办法（试行）》的规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红筹企业的对赌协议中存在优先权利安排的，核查发行人和投资机构是否约定并承诺在申报和发行过程中不行使优先权利，并于上市前终止优先权利、转换为普通股，了解转股安排和转股前后股东权利的变化，转股对发行人的具体影响，相关承诺及股份锁定期是否符合相关要求。</w:t>
      </w:r>
    </w:p>
    <w:p>
      <w:pPr>
        <w:numPr>
          <w:ilvl w:val="0"/>
          <w:numId w:val="2"/>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在境内发行存托凭证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sz w:val="32"/>
          <w:szCs w:val="32"/>
        </w:rPr>
        <w:t>对拟在境内发行存托凭证的</w:t>
      </w:r>
      <w:r>
        <w:rPr>
          <w:rFonts w:ascii="仿宋_GB2312" w:hAnsi="宋体" w:eastAsia="仿宋_GB2312"/>
          <w:color w:val="000000"/>
          <w:sz w:val="32"/>
          <w:szCs w:val="32"/>
        </w:rPr>
        <w:t>红筹</w:t>
      </w:r>
      <w:r>
        <w:rPr>
          <w:rFonts w:hint="eastAsia" w:ascii="仿宋_GB2312" w:hAnsi="宋体" w:eastAsia="仿宋_GB2312"/>
          <w:color w:val="000000"/>
          <w:sz w:val="32"/>
          <w:szCs w:val="32"/>
        </w:rPr>
        <w:t>企业，保荐人应核查《存托协议》和《托管协议》对本次境内发行的存托托管安排和相关主体的主要权利与义务，存托凭证持有人权利实行和保护的相关事宜等；核查本次发行前该红筹企业境外已发行的股票和存托凭证的情况，调查境内存托凭证持有人在分红派息、行使表决权等方面的特殊安排可能引发的风险，境内外市场交易规则差异、基础股票价格波动等因素造成境内存托凭证市场价格波动的风险，增发基础股票可能导致的境内存托凭证持有人权益被摊薄的风险，核查境内存托凭证持有人实际享有的权益与境外股东和境外存托凭证基础证券持有人的权益是否相当。</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w:t>
      </w:r>
      <w:r>
        <w:rPr>
          <w:rFonts w:ascii="仿宋_GB2312" w:hAnsi="宋体" w:eastAsia="仿宋_GB2312"/>
          <w:color w:val="000000" w:themeColor="text1"/>
          <w:sz w:val="32"/>
          <w:szCs w:val="32"/>
          <w14:textFill>
            <w14:solidFill>
              <w14:schemeClr w14:val="tx1"/>
            </w14:solidFill>
          </w14:textFill>
        </w:rPr>
        <w:t>、股权激励计划</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境外主体存在股权激励，核查境外主体股权激励授予、变更和终止的方式和履行程序是否合法合规，是否符合公司章程及股权激励计划的约定，股权激励对利润的影响，以及个税缴纳情况；核查股权激励的定价依据、资金来源，是否存在股份代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若为落实到境内上市主体进行员工持股激励的，核查境外激励计划与境内激励计划的差异，是否符合股东人数不超</w:t>
      </w:r>
      <w:r>
        <w:rPr>
          <w:rFonts w:ascii="仿宋_GB2312" w:hAnsi="宋体" w:eastAsia="仿宋_GB2312"/>
          <w:color w:val="000000" w:themeColor="text1"/>
          <w:sz w:val="32"/>
          <w:szCs w:val="32"/>
          <w14:textFill>
            <w14:solidFill>
              <w14:schemeClr w14:val="tx1"/>
            </w14:solidFill>
          </w14:textFill>
        </w:rPr>
        <w:t>200人的情况，是否符合三会决议、职工大会决议，是否存在潜在股权纠纷。</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w:t>
      </w:r>
      <w:r>
        <w:rPr>
          <w:rFonts w:ascii="仿宋_GB2312" w:hAnsi="宋体" w:eastAsia="仿宋_GB2312"/>
          <w:color w:val="000000" w:themeColor="text1"/>
          <w:sz w:val="32"/>
          <w:szCs w:val="32"/>
          <w14:textFill>
            <w14:solidFill>
              <w14:schemeClr w14:val="tx1"/>
            </w14:solidFill>
          </w14:textFill>
        </w:rPr>
        <w:t>、尚存境外持股架构</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控股股东、实际控制人设立在国际避税地区且持股层次复杂的，核查控股股东、实际控制人的国籍、保留此类架构的理由、持股的真实性、是否存在委托持股、信托持股、是否有各种影响控股权的约定、股东的出资来源等，必要时应取得拥有设立地区执业资格的律师出具专业分析意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w:t>
      </w:r>
      <w:r>
        <w:rPr>
          <w:rFonts w:ascii="仿宋_GB2312" w:hAnsi="宋体" w:eastAsia="仿宋_GB2312"/>
          <w:color w:val="000000" w:themeColor="text1"/>
          <w:sz w:val="32"/>
          <w:szCs w:val="32"/>
          <w14:textFill>
            <w14:solidFill>
              <w14:schemeClr w14:val="tx1"/>
            </w14:solidFill>
          </w14:textFill>
        </w:rPr>
        <w:t>、对于已上市红筹公司，可根据发行人的上市地监管规定、上市期间过往表现、上市地与A股市场的差异等实际情况，保荐人可结合前述特点进行专业判断，依据本示范实践的指导精神，对尽职调查工作可采取适当的简化或替代手段，包括但不限于由发行人相应出具承诺等。</w:t>
      </w:r>
    </w:p>
    <w:p>
      <w:pPr>
        <w:spacing w:line="360" w:lineRule="auto"/>
        <w:ind w:firstLine="640" w:firstLineChars="200"/>
        <w:outlineLvl w:val="2"/>
        <w:rPr>
          <w:rFonts w:ascii="仿宋_GB2312" w:hAnsi="宋体" w:eastAsia="仿宋_GB2312"/>
          <w:color w:val="000000"/>
          <w:sz w:val="32"/>
          <w:szCs w:val="32"/>
        </w:rPr>
      </w:pPr>
      <w:bookmarkStart w:id="57" w:name="_Toc105940618"/>
      <w:bookmarkStart w:id="58" w:name="_Toc76472352"/>
      <w:r>
        <w:rPr>
          <w:rFonts w:ascii="仿宋_GB2312" w:hAnsi="宋体" w:eastAsia="仿宋_GB2312"/>
          <w:color w:val="000000"/>
          <w:sz w:val="32"/>
          <w:szCs w:val="32"/>
        </w:rPr>
        <w:t xml:space="preserve">4.5.5  </w:t>
      </w:r>
      <w:r>
        <w:rPr>
          <w:rFonts w:hint="eastAsia" w:ascii="仿宋_GB2312" w:hAnsi="宋体" w:eastAsia="仿宋_GB2312"/>
          <w:color w:val="000000"/>
          <w:sz w:val="32"/>
          <w:szCs w:val="32"/>
        </w:rPr>
        <w:t>报告期内的重大资产重组</w:t>
      </w:r>
      <w:bookmarkEnd w:id="57"/>
      <w:bookmarkEnd w:id="58"/>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发行人重大重组行为是否合法合规，分析重组行为对发行人业务、控制权、董监高人员、财务状况等方面的影响。重点核查报告期内或临近报告期的重大重组，以及虽然距离报告期时间跨度较长，但对报告期内业务、财务、股权架构等具有重大影响的重组。</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1、总体要求</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访谈、获取有关的协议文件、支付凭证、过户登记文件等了解历次重组的有关情况，包括股权收购及转让（注销）、合并分立、资产收购及出售、资产置换、债务重组等引起发行人业务经营情况变化的非日常经营事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分析发行人的历次重大重组行为，包括但不限于交易标的名称、报告期经营情况、收购或出售股权比例、收购或出售的具体原因、交易价格、定价依据及价格公允性、过渡期间的损益处理、是否依法纳税、是否依法履行内外部审批程序、国资管理程序、会计处理及是否符合企业会计准则的规定；重组过程中各项资产的交接手续是否办理完毕；重组过程中涉及的款项是否付清；重组后的资产权属关系是否明晰，对发行人业务、控制权、董监高人员、财务状况和经营业绩等方面的影响进行分析。</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是否对发行人的发行条件构成影响，区分同一控制下的重组和非同一控制下的重组，分析标的公司的资产总额、营业收入、利润总额及占企业合并时发行人相关指标比例，根据监管规定和审核政策判断重组行为是否导致发行人主营业务和经营性资产发生实质变更。核查交易分步并购原因及合理性，分步并购是否属于一揽子协议，多次交易差价较大的原因，是否符合商业逻辑，是否存在规避重大资产重组的情形。</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2、交易价格</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交易的定价金额、依据及公允性，是否已支付相应款项，评估方法及评估增值的原因，交易价格除已支付对价外有无其他安排，是否存在损害发行人、其他股东、债权人利益的情形。以评估值定价的，分析交易标的估值合理性。此外，应关注交易标的估值的市盈率或市净率等指标与目前</w:t>
      </w:r>
      <w:r>
        <w:rPr>
          <w:rFonts w:ascii="仿宋_GB2312" w:hAnsi="宋体" w:eastAsia="仿宋_GB2312"/>
          <w:color w:val="000000" w:themeColor="text1"/>
          <w:sz w:val="32"/>
          <w:szCs w:val="32"/>
          <w14:textFill>
            <w14:solidFill>
              <w14:schemeClr w14:val="tx1"/>
            </w14:solidFill>
          </w14:textFill>
        </w:rPr>
        <w:t>A股市场同类型收购是否存在较大差异。</w:t>
      </w:r>
      <w:r>
        <w:rPr>
          <w:rFonts w:hint="eastAsia" w:ascii="仿宋_GB2312" w:hAnsi="宋体" w:eastAsia="仿宋_GB2312"/>
          <w:color w:val="000000" w:themeColor="text1"/>
          <w:sz w:val="32"/>
          <w:szCs w:val="32"/>
          <w14:textFill>
            <w14:solidFill>
              <w14:schemeClr w14:val="tx1"/>
            </w14:solidFill>
          </w14:textFill>
        </w:rPr>
        <w:t>关注重大资产重组中无形资产、商誉等的会计处理。</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3、转让、注销</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通过转让、注销等方式进行重组的，应核查注销或转让的原因、转让的价格、受让方是否与发行人存在关联关系、注销或转让的法律程序是否合法合规。核查该等主体的股东是否存在重大违法违规行为或不符合上市公司股东要求的情况。对于拟注销或转让主体，应核查处置前期间是否存在重大违法违规行为，是否存在重大诉讼或纠纷。</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对于注销的主体，核查该等主体经营性资产及人员的后续处理情况。</w:t>
      </w:r>
    </w:p>
    <w:p>
      <w:pPr>
        <w:spacing w:line="360" w:lineRule="auto"/>
        <w:ind w:firstLine="640" w:firstLineChars="200"/>
        <w:outlineLvl w:val="2"/>
        <w:rPr>
          <w:rFonts w:ascii="仿宋_GB2312" w:hAnsi="宋体" w:eastAsia="仿宋_GB2312"/>
          <w:color w:val="000000"/>
          <w:sz w:val="32"/>
          <w:szCs w:val="32"/>
        </w:rPr>
      </w:pPr>
      <w:bookmarkStart w:id="59" w:name="_Toc105940619"/>
      <w:bookmarkStart w:id="60" w:name="_Toc76472353"/>
      <w:r>
        <w:rPr>
          <w:rFonts w:ascii="仿宋_GB2312" w:hAnsi="宋体" w:eastAsia="仿宋_GB2312"/>
          <w:color w:val="000000"/>
          <w:sz w:val="32"/>
          <w:szCs w:val="32"/>
        </w:rPr>
        <w:t xml:space="preserve">4.5.6  </w:t>
      </w:r>
      <w:r>
        <w:rPr>
          <w:rFonts w:hint="eastAsia" w:ascii="仿宋_GB2312" w:hAnsi="宋体" w:eastAsia="仿宋_GB2312"/>
          <w:color w:val="000000"/>
          <w:sz w:val="32"/>
          <w:szCs w:val="32"/>
        </w:rPr>
        <w:t>实际控制人</w:t>
      </w:r>
      <w:bookmarkEnd w:id="59"/>
      <w:bookmarkEnd w:id="60"/>
    </w:p>
    <w:p>
      <w:pPr>
        <w:spacing w:line="360" w:lineRule="auto"/>
        <w:ind w:firstLine="640" w:firstLineChars="200"/>
        <w:outlineLvl w:val="3"/>
        <w:rPr>
          <w:rFonts w:ascii="仿宋_GB2312" w:hAnsi="宋体" w:eastAsia="仿宋_GB2312"/>
          <w:color w:val="000000"/>
          <w:sz w:val="32"/>
          <w:szCs w:val="32"/>
        </w:rPr>
      </w:pPr>
      <w:r>
        <w:rPr>
          <w:rFonts w:ascii="仿宋_GB2312" w:hAnsi="宋体" w:eastAsia="仿宋_GB2312"/>
          <w:color w:val="000000"/>
          <w:sz w:val="32"/>
          <w:szCs w:val="32"/>
        </w:rPr>
        <w:t>1、实际控制人认定核查</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发行人股权较为分散但存在单一股东控制比例达到</w:t>
      </w:r>
      <w:r>
        <w:rPr>
          <w:rFonts w:ascii="仿宋_GB2312" w:hAnsi="宋体" w:eastAsia="仿宋_GB2312"/>
          <w:color w:val="000000"/>
          <w:sz w:val="32"/>
          <w:szCs w:val="32"/>
        </w:rPr>
        <w:t>30%的情形的，</w:t>
      </w:r>
      <w:r>
        <w:rPr>
          <w:rFonts w:hint="eastAsia" w:ascii="仿宋_GB2312" w:hAnsi="宋体" w:eastAsia="仿宋_GB2312"/>
          <w:color w:val="000000"/>
          <w:sz w:val="32"/>
          <w:szCs w:val="32"/>
        </w:rPr>
        <w:t>若无相反证据,原则上应将该股东认定为控股股东或实际控制人。存在下列情形之一的，保荐人应</w:t>
      </w:r>
      <w:r>
        <w:rPr>
          <w:rFonts w:ascii="仿宋_GB2312" w:hAnsi="宋体" w:eastAsia="仿宋_GB2312"/>
          <w:color w:val="000000"/>
          <w:sz w:val="32"/>
          <w:szCs w:val="32"/>
        </w:rPr>
        <w:t>核查是否通过实际控制人认定而规避发行条件或监管并发表专项意见：（1）公司认定存在实际控制人，但其他股东持股比例较高与实际控制人持股比例接近的；（2）第一大股东持股接近30%，其他股东比例不高且较为分散，公司认定无实际控制人的。</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发行人存在红筹架构的，关注公司章程中多倍投票权、股东特殊权利、关于股东会、董事会权利分配等约定可能对实际控制人认定产生的影响。</w:t>
      </w:r>
    </w:p>
    <w:p>
      <w:pPr>
        <w:spacing w:line="360" w:lineRule="auto"/>
        <w:ind w:firstLine="640" w:firstLineChars="200"/>
        <w:outlineLvl w:val="3"/>
        <w:rPr>
          <w:rFonts w:ascii="仿宋_GB2312" w:hAnsi="宋体" w:eastAsia="仿宋_GB2312"/>
          <w:color w:val="000000"/>
          <w:sz w:val="32"/>
          <w:szCs w:val="32"/>
        </w:rPr>
      </w:pPr>
      <w:r>
        <w:rPr>
          <w:rFonts w:ascii="仿宋_GB2312" w:hAnsi="宋体" w:eastAsia="仿宋_GB2312"/>
          <w:color w:val="000000"/>
          <w:sz w:val="32"/>
          <w:szCs w:val="32"/>
        </w:rPr>
        <w:t>2、实际控制人的稳定性核查</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核查实际控制人是否存在影响发行人正常经营管理、侵害发行人及其他股东的利益、违反相关法律法规等情形。</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核查实际控制人最近三年是否存在贪污、贿赂、侵占财产、挪用财产或者破坏社会主义市场经济秩序的刑事犯罪，最近三年是否存在尚处于追诉期内的上述刑事犯罪和其他严重损害社会公共利益的重大违法行为。</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核查实际控制人、发起人及主要股东持有发行人股份是否存在质押或权属争议。核查实际控制人的对外担保和大额债务情况，是否具有偿债能力，是否会影响发行人股权的稳定性。</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如实际控制人设立在国际避税区且持股层次复杂的，应核查发行人设置此类架构的原因、合法性及合理性、持股的真实性、是否存在委托持股、信托持股、是否有各种影响控股权的约定、股东的出资来源，发行人控股股东和受控股股东、实际控制人支配的股东所持发行人的股份权属是否清晰，发行人治理和内控的有效性。</w:t>
      </w:r>
    </w:p>
    <w:p>
      <w:pPr>
        <w:spacing w:line="360" w:lineRule="auto"/>
        <w:ind w:firstLine="640" w:firstLineChars="200"/>
        <w:outlineLvl w:val="3"/>
        <w:rPr>
          <w:rFonts w:ascii="仿宋_GB2312" w:hAnsi="宋体" w:eastAsia="仿宋_GB2312"/>
          <w:color w:val="000000"/>
          <w:sz w:val="32"/>
          <w:szCs w:val="32"/>
        </w:rPr>
      </w:pPr>
      <w:r>
        <w:rPr>
          <w:rFonts w:ascii="仿宋_GB2312" w:hAnsi="宋体" w:eastAsia="仿宋_GB2312"/>
          <w:color w:val="000000"/>
          <w:sz w:val="32"/>
          <w:szCs w:val="32"/>
        </w:rPr>
        <w:t>3、多人共同控制的核查</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1）在股权比较分散，认定多人共同控制公司的，需要取得充分的事实和证据证明多人共同拥有公司控制权的真实性、合理性和稳定性，如：一致行动人协议，并综合对发行人股东大会、董事会决议的实质影响、对董事和高级管理人员的提名及任免所起的作用等因素进行分析判断。</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2）在股权并不分散，但是第一大股东与其他股东之间存在近亲属、一致行动协议等关联关系，这种情况下，是否认定为共同控制，要结合其他股东对公司实际经营的影响及对发行人股东大会、董事会决议的实质影响、对董事和高级管理人员的提名及任免所起的作用等因素进行分析判断。</w:t>
      </w:r>
      <w:r>
        <w:rPr>
          <w:rFonts w:hint="eastAsia" w:ascii="仿宋_GB2312" w:hAnsi="宋体" w:eastAsia="仿宋_GB2312"/>
          <w:color w:val="000000"/>
          <w:sz w:val="32"/>
          <w:szCs w:val="32"/>
        </w:rPr>
        <w:t>通过一致行动协议主张共同控制的，</w:t>
      </w:r>
      <w:r>
        <w:rPr>
          <w:rFonts w:ascii="仿宋_GB2312" w:hAnsi="宋体" w:eastAsia="仿宋_GB2312"/>
          <w:color w:val="000000"/>
          <w:sz w:val="32"/>
          <w:szCs w:val="32"/>
        </w:rPr>
        <w:t>核查是否存在排除第一大股东为共同控制人的情况，如有，是否有</w:t>
      </w:r>
      <w:r>
        <w:rPr>
          <w:rFonts w:hint="eastAsia" w:ascii="仿宋_GB2312" w:hAnsi="宋体" w:eastAsia="仿宋_GB2312"/>
          <w:color w:val="000000"/>
          <w:sz w:val="32"/>
          <w:szCs w:val="32"/>
        </w:rPr>
        <w:t>合理理由。实际控制人的配偶、直系亲属，如其持有公司股份达到</w:t>
      </w:r>
      <w:r>
        <w:rPr>
          <w:rFonts w:ascii="仿宋_GB2312" w:hAnsi="宋体" w:eastAsia="仿宋_GB2312"/>
          <w:color w:val="000000"/>
          <w:sz w:val="32"/>
          <w:szCs w:val="32"/>
        </w:rPr>
        <w:t>5%以上或者虽未超过5%但是担任公司董事、高级管理人员并在公司经营决策中发挥重要作用，保荐人应说明上述主体是否为共同实际控制人。</w:t>
      </w:r>
    </w:p>
    <w:p>
      <w:pPr>
        <w:spacing w:line="360" w:lineRule="auto"/>
        <w:ind w:firstLine="640" w:firstLineChars="200"/>
        <w:outlineLvl w:val="3"/>
        <w:rPr>
          <w:rFonts w:ascii="仿宋_GB2312" w:hAnsi="宋体" w:eastAsia="仿宋_GB2312"/>
          <w:color w:val="000000"/>
          <w:sz w:val="32"/>
          <w:szCs w:val="32"/>
        </w:rPr>
      </w:pPr>
      <w:r>
        <w:rPr>
          <w:rFonts w:ascii="仿宋_GB2312" w:hAnsi="宋体" w:eastAsia="仿宋_GB2312"/>
          <w:color w:val="000000"/>
          <w:sz w:val="32"/>
          <w:szCs w:val="32"/>
        </w:rPr>
        <w:t>4、无实际控制人的核查</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发行人不存在拥有公司控制权的人或者公司控制权的归属难以判断的，</w:t>
      </w:r>
      <w:r>
        <w:rPr>
          <w:rFonts w:ascii="仿宋_GB2312" w:hAnsi="宋体" w:eastAsia="仿宋_GB2312"/>
          <w:color w:val="000000"/>
          <w:sz w:val="32"/>
          <w:szCs w:val="32"/>
        </w:rPr>
        <w:t>核查发行人的股权及控制结构、经营管理层和主营业务在首发前3年内是否发生重大变化，发行人的股权及控制结构是否影响公司治理有效性，相关股东是否采取股份锁定等有利于公司股权稳定措施</w:t>
      </w:r>
      <w:r>
        <w:rPr>
          <w:rFonts w:hint="eastAsia" w:ascii="仿宋_GB2312" w:hAnsi="宋体" w:eastAsia="仿宋_GB2312"/>
          <w:color w:val="000000"/>
          <w:sz w:val="32"/>
          <w:szCs w:val="32"/>
        </w:rPr>
        <w:t>。</w:t>
      </w:r>
    </w:p>
    <w:p>
      <w:pPr>
        <w:spacing w:line="360" w:lineRule="auto"/>
        <w:ind w:firstLine="640" w:firstLineChars="200"/>
        <w:outlineLvl w:val="3"/>
        <w:rPr>
          <w:rFonts w:ascii="仿宋_GB2312" w:hAnsi="宋体" w:eastAsia="仿宋_GB2312"/>
          <w:color w:val="000000"/>
          <w:sz w:val="32"/>
          <w:szCs w:val="32"/>
        </w:rPr>
      </w:pPr>
      <w:r>
        <w:rPr>
          <w:rFonts w:ascii="仿宋_GB2312" w:hAnsi="宋体" w:eastAsia="仿宋_GB2312"/>
          <w:color w:val="000000"/>
          <w:sz w:val="32"/>
          <w:szCs w:val="32"/>
        </w:rPr>
        <w:t>5、实际控制人是否发生变化的核查</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多名自然人为实际控制人，实际控制人之一去世的，保荐人应结合股权结构、</w:t>
      </w:r>
      <w:r>
        <w:rPr>
          <w:rFonts w:ascii="仿宋_GB2312" w:hAnsi="宋体" w:eastAsia="仿宋_GB2312"/>
          <w:color w:val="000000"/>
          <w:sz w:val="32"/>
          <w:szCs w:val="32"/>
        </w:rPr>
        <w:t>实际控制人及继承人之间是否存在亲属关系、</w:t>
      </w:r>
      <w:r>
        <w:rPr>
          <w:rFonts w:hint="eastAsia" w:ascii="仿宋_GB2312" w:hAnsi="宋体" w:eastAsia="仿宋_GB2312"/>
          <w:color w:val="000000"/>
          <w:sz w:val="32"/>
          <w:szCs w:val="32"/>
        </w:rPr>
        <w:t>去世自然人在股东大会或董事会决策中的作用、对发行人持续经营的影响等因素综合判断。</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2）实际控制人认定中涉及股权</w:t>
      </w:r>
      <w:r>
        <w:rPr>
          <w:rFonts w:hint="eastAsia" w:ascii="仿宋_GB2312" w:hAnsi="宋体" w:eastAsia="仿宋_GB2312"/>
          <w:color w:val="000000"/>
          <w:sz w:val="32"/>
          <w:szCs w:val="32"/>
        </w:rPr>
        <w:t>代持情况的，</w:t>
      </w:r>
      <w:r>
        <w:rPr>
          <w:rFonts w:ascii="仿宋_GB2312" w:hAnsi="宋体" w:eastAsia="仿宋_GB2312"/>
          <w:color w:val="000000"/>
          <w:sz w:val="32"/>
          <w:szCs w:val="32"/>
        </w:rPr>
        <w:t>核查</w:t>
      </w:r>
      <w:r>
        <w:rPr>
          <w:rFonts w:hint="eastAsia" w:ascii="仿宋_GB2312" w:hAnsi="宋体" w:eastAsia="仿宋_GB2312"/>
          <w:color w:val="000000"/>
          <w:sz w:val="32"/>
          <w:szCs w:val="32"/>
        </w:rPr>
        <w:t>存在代持的原因</w:t>
      </w:r>
      <w:r>
        <w:rPr>
          <w:rFonts w:ascii="仿宋_GB2312" w:hAnsi="宋体" w:eastAsia="仿宋_GB2312"/>
          <w:color w:val="000000"/>
          <w:sz w:val="32"/>
          <w:szCs w:val="32"/>
        </w:rPr>
        <w:t>，</w:t>
      </w:r>
      <w:r>
        <w:rPr>
          <w:rFonts w:hint="eastAsia" w:ascii="仿宋_GB2312" w:hAnsi="宋体" w:eastAsia="仿宋_GB2312"/>
          <w:color w:val="000000"/>
          <w:sz w:val="32"/>
          <w:szCs w:val="32"/>
        </w:rPr>
        <w:t>股东之间</w:t>
      </w:r>
      <w:r>
        <w:rPr>
          <w:rFonts w:ascii="仿宋_GB2312" w:hAnsi="宋体" w:eastAsia="仿宋_GB2312"/>
          <w:color w:val="000000"/>
          <w:sz w:val="32"/>
          <w:szCs w:val="32"/>
        </w:rPr>
        <w:t>是否</w:t>
      </w:r>
      <w:r>
        <w:rPr>
          <w:rFonts w:hint="eastAsia" w:ascii="仿宋_GB2312" w:hAnsi="宋体" w:eastAsia="仿宋_GB2312"/>
          <w:color w:val="000000"/>
          <w:sz w:val="32"/>
          <w:szCs w:val="32"/>
        </w:rPr>
        <w:t>知晓代持关系的存在</w:t>
      </w:r>
      <w:r>
        <w:rPr>
          <w:rFonts w:ascii="仿宋_GB2312" w:hAnsi="宋体" w:eastAsia="仿宋_GB2312"/>
          <w:color w:val="000000"/>
          <w:sz w:val="32"/>
          <w:szCs w:val="32"/>
        </w:rPr>
        <w:t>、是否存在纠纷或争议、是否属于依规定需要清理的情况</w:t>
      </w:r>
      <w:r>
        <w:rPr>
          <w:rFonts w:hint="eastAsia"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3）多人共同控制发行人的情况下，核查发行人最近3年内持有、实际支配公司股份表决权比例最高的人是否发生变化，变化前后的股东是否属于同一实际控制人。</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（4）应关注报告期内变更的实际控制人，并结合对发行人业务的影响、资金流水往来等情况落实对该等人员的核查。</w:t>
      </w:r>
    </w:p>
    <w:p>
      <w:pPr>
        <w:spacing w:line="360" w:lineRule="auto"/>
        <w:ind w:firstLine="640" w:firstLineChars="200"/>
        <w:outlineLvl w:val="2"/>
        <w:rPr>
          <w:rFonts w:ascii="仿宋_GB2312" w:hAnsi="宋体" w:eastAsia="仿宋_GB2312"/>
          <w:color w:val="000000"/>
          <w:sz w:val="32"/>
          <w:szCs w:val="32"/>
        </w:rPr>
      </w:pPr>
      <w:bookmarkStart w:id="61" w:name="_Toc76472354"/>
      <w:bookmarkStart w:id="62" w:name="_Toc105940620"/>
      <w:r>
        <w:rPr>
          <w:rFonts w:ascii="仿宋_GB2312" w:hAnsi="宋体" w:eastAsia="仿宋_GB2312"/>
          <w:color w:val="000000"/>
          <w:sz w:val="32"/>
          <w:szCs w:val="32"/>
        </w:rPr>
        <w:t xml:space="preserve">4.5.7  </w:t>
      </w:r>
      <w:r>
        <w:rPr>
          <w:rFonts w:hint="eastAsia" w:ascii="仿宋_GB2312" w:hAnsi="宋体" w:eastAsia="仿宋_GB2312"/>
          <w:color w:val="000000"/>
          <w:sz w:val="32"/>
          <w:szCs w:val="32"/>
        </w:rPr>
        <w:t>控股子公司和重要参股公司</w:t>
      </w:r>
      <w:bookmarkEnd w:id="61"/>
      <w:bookmarkEnd w:id="62"/>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保荐人应将发行人</w:t>
      </w:r>
      <w:r>
        <w:rPr>
          <w:rFonts w:hint="eastAsia" w:ascii="仿宋_GB2312" w:hAnsi="宋体" w:eastAsia="仿宋_GB2312"/>
          <w:color w:val="000000"/>
          <w:sz w:val="32"/>
          <w:szCs w:val="32"/>
        </w:rPr>
        <w:t>存续或报告期内注销及转让的控股子公司和重要参股公司</w:t>
      </w:r>
      <w:r>
        <w:rPr>
          <w:rFonts w:hint="eastAsia" w:ascii="仿宋_GB2312" w:hAnsi="宋体" w:eastAsia="仿宋_GB2312"/>
          <w:color w:val="000000" w:themeColor="text1"/>
          <w:sz w:val="32"/>
          <w:szCs w:val="32"/>
          <w14:textFill>
            <w14:solidFill>
              <w14:schemeClr w14:val="tx1"/>
            </w14:solidFill>
          </w14:textFill>
        </w:rPr>
        <w:t>纳入核查范围，了解控股子公司、重要参股公司的基本情况，设立及存续是否合法合规，注销及转让的原因及合理性（如有），发行人能否对控股子公司有效管控等。发行人存在</w:t>
      </w:r>
      <w:r>
        <w:rPr>
          <w:rFonts w:ascii="仿宋_GB2312" w:hAnsi="宋体" w:eastAsia="仿宋_GB2312"/>
          <w:color w:val="000000" w:themeColor="text1"/>
          <w:sz w:val="32"/>
          <w:szCs w:val="32"/>
          <w14:textFill>
            <w14:solidFill>
              <w14:schemeClr w14:val="tx1"/>
            </w14:solidFill>
          </w14:textFill>
        </w:rPr>
        <w:t>VIE架构的，应将VIE公司及其下属子公司纳入核查范围。</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1、控股子公司、</w:t>
      </w:r>
      <w:r>
        <w:rPr>
          <w:rFonts w:hint="eastAsia" w:ascii="仿宋_GB2312" w:hAnsi="宋体" w:eastAsia="仿宋_GB2312"/>
          <w:color w:val="000000" w:themeColor="text1"/>
          <w:sz w:val="32"/>
          <w:szCs w:val="32"/>
          <w14:textFill>
            <w14:solidFill>
              <w14:schemeClr w14:val="tx1"/>
            </w14:solidFill>
          </w14:textFill>
        </w:rPr>
        <w:t>重要</w:t>
      </w:r>
      <w:r>
        <w:rPr>
          <w:rFonts w:ascii="仿宋_GB2312" w:hAnsi="宋体" w:eastAsia="仿宋_GB2312"/>
          <w:color w:val="000000" w:themeColor="text1"/>
          <w:sz w:val="32"/>
          <w:szCs w:val="32"/>
          <w14:textFill>
            <w14:solidFill>
              <w14:schemeClr w14:val="tx1"/>
            </w14:solidFill>
          </w14:textFill>
        </w:rPr>
        <w:t>参股公司的设立及存续、注销及转让</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1）通过调阅各控股子公司、</w:t>
      </w:r>
      <w:r>
        <w:rPr>
          <w:rFonts w:hint="eastAsia" w:ascii="仿宋_GB2312" w:hAnsi="宋体" w:eastAsia="仿宋_GB2312"/>
          <w:color w:val="000000" w:themeColor="text1"/>
          <w:sz w:val="32"/>
          <w:szCs w:val="32"/>
          <w14:textFill>
            <w14:solidFill>
              <w14:schemeClr w14:val="tx1"/>
            </w14:solidFill>
          </w14:textFill>
        </w:rPr>
        <w:t>重要</w:t>
      </w:r>
      <w:r>
        <w:rPr>
          <w:rFonts w:ascii="仿宋_GB2312" w:hAnsi="宋体" w:eastAsia="仿宋_GB2312"/>
          <w:color w:val="000000" w:themeColor="text1"/>
          <w:sz w:val="32"/>
          <w:szCs w:val="32"/>
          <w14:textFill>
            <w14:solidFill>
              <w14:schemeClr w14:val="tx1"/>
            </w14:solidFill>
          </w14:textFill>
        </w:rPr>
        <w:t>参股公司的工商登记资料、内部审批决策文件，访谈相关人员等，核查设立各控股子公司、</w:t>
      </w:r>
      <w:r>
        <w:rPr>
          <w:rFonts w:hint="eastAsia" w:ascii="仿宋_GB2312" w:hAnsi="宋体" w:eastAsia="仿宋_GB2312"/>
          <w:color w:val="000000" w:themeColor="text1"/>
          <w:sz w:val="32"/>
          <w:szCs w:val="32"/>
          <w14:textFill>
            <w14:solidFill>
              <w14:schemeClr w14:val="tx1"/>
            </w14:solidFill>
          </w14:textFill>
        </w:rPr>
        <w:t>重要</w:t>
      </w:r>
      <w:r>
        <w:rPr>
          <w:rFonts w:ascii="仿宋_GB2312" w:hAnsi="宋体" w:eastAsia="仿宋_GB2312"/>
          <w:color w:val="000000" w:themeColor="text1"/>
          <w:sz w:val="32"/>
          <w:szCs w:val="32"/>
          <w14:textFill>
            <w14:solidFill>
              <w14:schemeClr w14:val="tx1"/>
            </w14:solidFill>
          </w14:textFill>
        </w:rPr>
        <w:t>参股公司的商业合理性，各子公司之间的业务关系、发展定位、与发行人主营业务的对应关系，各子公司企业所得税税率是否存在差异，结合各子公司之间的关联交易情况，分析转移定价价格是否公允，是否存在通过子公司之间</w:t>
      </w:r>
      <w:r>
        <w:rPr>
          <w:rFonts w:hint="eastAsia" w:ascii="仿宋_GB2312" w:hAnsi="宋体" w:eastAsia="仿宋_GB2312"/>
          <w:color w:val="000000" w:themeColor="text1"/>
          <w:sz w:val="32"/>
          <w:szCs w:val="32"/>
          <w14:textFill>
            <w14:solidFill>
              <w14:schemeClr w14:val="tx1"/>
            </w14:solidFill>
          </w14:textFill>
        </w:rPr>
        <w:t>不公允交易定价规避税负的情况。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2）通过调阅各控股子公司、</w:t>
      </w:r>
      <w:r>
        <w:rPr>
          <w:rFonts w:hint="eastAsia" w:ascii="仿宋_GB2312" w:hAnsi="宋体" w:eastAsia="仿宋_GB2312"/>
          <w:color w:val="000000" w:themeColor="text1"/>
          <w:sz w:val="32"/>
          <w:szCs w:val="32"/>
          <w14:textFill>
            <w14:solidFill>
              <w14:schemeClr w14:val="tx1"/>
            </w14:solidFill>
          </w14:textFill>
        </w:rPr>
        <w:t>重要</w:t>
      </w:r>
      <w:r>
        <w:rPr>
          <w:rFonts w:ascii="仿宋_GB2312" w:hAnsi="宋体" w:eastAsia="仿宋_GB2312"/>
          <w:color w:val="000000" w:themeColor="text1"/>
          <w:sz w:val="32"/>
          <w:szCs w:val="32"/>
          <w14:textFill>
            <w14:solidFill>
              <w14:schemeClr w14:val="tx1"/>
            </w14:solidFill>
          </w14:textFill>
        </w:rPr>
        <w:t>参股公司的工商登记资料、内部审批决策文件、合</w:t>
      </w:r>
      <w:r>
        <w:rPr>
          <w:rFonts w:hint="eastAsia" w:ascii="仿宋_GB2312" w:hAnsi="宋体" w:eastAsia="仿宋_GB2312"/>
          <w:color w:val="000000" w:themeColor="text1"/>
          <w:sz w:val="32"/>
          <w:szCs w:val="32"/>
          <w14:textFill>
            <w14:solidFill>
              <w14:schemeClr w14:val="tx1"/>
            </w14:solidFill>
          </w14:textFill>
        </w:rPr>
        <w:t>规证明，访谈相关人员等，核查注销或转让控股子公司、重要参股公司的原因，相关方是否存在违法违规行为，是否构成控股股东、实际控制人的重大违法行为，是否影响发行人董事、高级管理人员的任职资格；</w:t>
      </w:r>
      <w:r>
        <w:rPr>
          <w:rFonts w:ascii="仿宋_GB2312" w:hAnsi="宋体" w:eastAsia="仿宋_GB2312"/>
          <w:color w:val="000000" w:themeColor="text1"/>
          <w:sz w:val="32"/>
          <w:szCs w:val="32"/>
          <w14:textFill>
            <w14:solidFill>
              <w14:schemeClr w14:val="tx1"/>
            </w14:solidFill>
          </w14:textFill>
        </w:rPr>
        <w:t>已注销</w:t>
      </w:r>
      <w:r>
        <w:rPr>
          <w:rFonts w:hint="eastAsia" w:ascii="仿宋_GB2312" w:hAnsi="宋体" w:eastAsia="仿宋_GB2312"/>
          <w:color w:val="000000" w:themeColor="text1"/>
          <w:sz w:val="32"/>
          <w:szCs w:val="32"/>
          <w14:textFill>
            <w14:solidFill>
              <w14:schemeClr w14:val="tx1"/>
            </w14:solidFill>
          </w14:textFill>
        </w:rPr>
        <w:t>控股子公司、重要参股公司</w:t>
      </w:r>
      <w:r>
        <w:rPr>
          <w:rFonts w:ascii="仿宋_GB2312" w:hAnsi="宋体" w:eastAsia="仿宋_GB2312"/>
          <w:color w:val="000000" w:themeColor="text1"/>
          <w:sz w:val="32"/>
          <w:szCs w:val="32"/>
          <w14:textFill>
            <w14:solidFill>
              <w14:schemeClr w14:val="tx1"/>
            </w14:solidFill>
          </w14:textFill>
        </w:rPr>
        <w:t>的注销程序是否合规；已注销企业注销后资产、人员去向</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已转让企业股权受让方的基本情况、转让是否真实、转让价格是否公允、与发行人或发行人的主要客户及供应商是否存在可能导致利益输送的特殊关系</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）核查境外子公司设立是否履行境内相关审批程序，</w:t>
      </w:r>
      <w:r>
        <w:rPr>
          <w:rFonts w:ascii="仿宋_GB2312" w:hAnsi="宋体" w:eastAsia="仿宋_GB2312"/>
          <w:color w:val="000000" w:themeColor="text1"/>
          <w:sz w:val="32"/>
          <w:szCs w:val="32"/>
          <w14:textFill>
            <w14:solidFill>
              <w14:schemeClr w14:val="tx1"/>
            </w14:solidFill>
          </w14:textFill>
        </w:rPr>
        <w:t>设立及运营是否符合当地法律法规</w:t>
      </w:r>
      <w:r>
        <w:rPr>
          <w:rFonts w:hint="eastAsia" w:ascii="仿宋_GB2312" w:hAnsi="宋体" w:eastAsia="仿宋_GB2312"/>
          <w:color w:val="000000" w:themeColor="text1"/>
          <w:sz w:val="32"/>
          <w:szCs w:val="32"/>
          <w14:textFill>
            <w14:solidFill>
              <w14:schemeClr w14:val="tx1"/>
            </w14:solidFill>
          </w14:textFill>
        </w:rPr>
        <w:t>；利润分配是否受当地法律法规限制。</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获取发行人存续及报告期内注销的控股子公司及重要参股公司最近三年及一期的审计报告或财务报表等资料，了解相关主体的财务状况。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2、发行人控股子公司、重要参股公司的主要合作方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取得发行人控股子公司、重要参股公司的主要合作方相关资料、网络查询等方式了解其基本情况，可以对主要合作方进行访谈，了解合作原因、合作情况、关联关系等。发行人如存在与其控股股东、实际控制人、董事、监事、高级管理人员及其亲属直接或者间接共同设立公司情形，还应了解</w:t>
      </w:r>
      <w:r>
        <w:rPr>
          <w:rFonts w:ascii="仿宋_GB2312" w:hAnsi="宋体" w:eastAsia="仿宋_GB2312"/>
          <w:color w:val="000000" w:themeColor="text1"/>
          <w:sz w:val="32"/>
          <w:szCs w:val="32"/>
          <w14:textFill>
            <w14:solidFill>
              <w14:schemeClr w14:val="tx1"/>
            </w14:solidFill>
          </w14:textFill>
        </w:rPr>
        <w:t>发行人与上述主体共同设立公司的背景、原因和必要性，发行人出资是否合法合规、出资价格是否公允</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如发行人与共同设立的公司存在业务或资金往来的，还应</w:t>
      </w:r>
      <w:r>
        <w:rPr>
          <w:rFonts w:hint="eastAsia" w:ascii="仿宋_GB2312" w:hAnsi="宋体" w:eastAsia="仿宋_GB2312"/>
          <w:color w:val="000000" w:themeColor="text1"/>
          <w:sz w:val="32"/>
          <w:szCs w:val="32"/>
          <w14:textFill>
            <w14:solidFill>
              <w14:schemeClr w14:val="tx1"/>
            </w14:solidFill>
          </w14:textFill>
        </w:rPr>
        <w:t>了解关联交易的</w:t>
      </w:r>
      <w:r>
        <w:rPr>
          <w:rFonts w:ascii="仿宋_GB2312" w:hAnsi="宋体" w:eastAsia="仿宋_GB2312"/>
          <w:color w:val="000000" w:themeColor="text1"/>
          <w:sz w:val="32"/>
          <w:szCs w:val="32"/>
          <w14:textFill>
            <w14:solidFill>
              <w14:schemeClr w14:val="tx1"/>
            </w14:solidFill>
          </w14:textFill>
        </w:rPr>
        <w:t>真实性、合法性、必要性、合理性及公允性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如公司共同投资方为董事、高级管理人员及其近亲属，</w:t>
      </w:r>
      <w:r>
        <w:rPr>
          <w:rFonts w:hint="eastAsia" w:ascii="仿宋_GB2312" w:hAnsi="宋体" w:eastAsia="仿宋_GB2312"/>
          <w:color w:val="000000" w:themeColor="text1"/>
          <w:sz w:val="32"/>
          <w:szCs w:val="32"/>
          <w14:textFill>
            <w14:solidFill>
              <w14:schemeClr w14:val="tx1"/>
            </w14:solidFill>
          </w14:textFill>
        </w:rPr>
        <w:t>还应了解</w:t>
      </w:r>
      <w:r>
        <w:rPr>
          <w:rFonts w:ascii="仿宋_GB2312" w:hAnsi="宋体" w:eastAsia="仿宋_GB2312"/>
          <w:color w:val="000000" w:themeColor="text1"/>
          <w:sz w:val="32"/>
          <w:szCs w:val="32"/>
          <w14:textFill>
            <w14:solidFill>
              <w14:schemeClr w14:val="tx1"/>
            </w14:solidFill>
          </w14:textFill>
        </w:rPr>
        <w:t>是否符合《公司法》</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2018年修订）第148条规定。</w:t>
      </w:r>
    </w:p>
    <w:p>
      <w:pPr>
        <w:numPr>
          <w:ilvl w:val="0"/>
          <w:numId w:val="3"/>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发行人对控股子公司的有效管控</w:t>
      </w:r>
    </w:p>
    <w:p>
      <w:pPr>
        <w:numPr>
          <w:ilvl w:val="255"/>
          <w:numId w:val="0"/>
        </w:num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关注发行人与从外部并购的控股子公司是否存在业绩对赌及相关业绩承诺的实现情况，发行人能否对外部并购的子公司进行有效管控，控股子公司的内部控制是否健全，是否与母公司内部控制存在较大差异等，以防范子公司的舞弊风险。</w:t>
      </w:r>
    </w:p>
    <w:p>
      <w:pPr>
        <w:spacing w:line="360" w:lineRule="auto"/>
        <w:ind w:firstLine="640" w:firstLineChars="200"/>
        <w:outlineLvl w:val="2"/>
        <w:rPr>
          <w:rFonts w:ascii="仿宋_GB2312" w:hAnsi="宋体" w:eastAsia="仿宋_GB2312"/>
          <w:color w:val="000000"/>
          <w:sz w:val="32"/>
          <w:szCs w:val="32"/>
        </w:rPr>
      </w:pPr>
      <w:bookmarkStart w:id="63" w:name="_Toc76472355"/>
      <w:bookmarkStart w:id="64" w:name="_Toc105940621"/>
      <w:r>
        <w:rPr>
          <w:rFonts w:ascii="仿宋_GB2312" w:hAnsi="宋体" w:eastAsia="仿宋_GB2312"/>
          <w:color w:val="000000"/>
          <w:sz w:val="32"/>
          <w:szCs w:val="32"/>
        </w:rPr>
        <w:t xml:space="preserve">4.5.8  </w:t>
      </w:r>
      <w:r>
        <w:rPr>
          <w:rFonts w:hint="eastAsia" w:ascii="仿宋_GB2312" w:hAnsi="宋体" w:eastAsia="仿宋_GB2312"/>
          <w:color w:val="000000"/>
          <w:sz w:val="32"/>
          <w:szCs w:val="32"/>
        </w:rPr>
        <w:t>董监高任职资格、胜任能力等相关情况</w:t>
      </w:r>
      <w:bookmarkEnd w:id="63"/>
      <w:bookmarkEnd w:id="64"/>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任职资格</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1）通过</w:t>
      </w:r>
      <w:r>
        <w:rPr>
          <w:rFonts w:hint="eastAsia" w:ascii="仿宋_GB2312" w:hAnsi="宋体" w:eastAsia="仿宋_GB2312"/>
          <w:color w:val="000000"/>
          <w:sz w:val="32"/>
          <w:szCs w:val="32"/>
        </w:rPr>
        <w:t>对董监高及核心技术人员访谈、查阅有关董监高的个人履历资料、查询董监高曾担任</w:t>
      </w:r>
      <w:r>
        <w:rPr>
          <w:rFonts w:hint="eastAsia" w:ascii="仿宋_GB2312" w:hAnsi="宋体" w:eastAsia="仿宋_GB2312"/>
          <w:color w:val="000000"/>
          <w:kern w:val="0"/>
          <w:sz w:val="32"/>
          <w:szCs w:val="32"/>
        </w:rPr>
        <w:t>董监高、执行事务合伙人等</w:t>
      </w:r>
      <w:r>
        <w:rPr>
          <w:rFonts w:hint="eastAsia" w:ascii="仿宋_GB2312" w:hAnsi="宋体" w:eastAsia="仿宋_GB2312"/>
          <w:color w:val="000000"/>
          <w:sz w:val="32"/>
          <w:szCs w:val="32"/>
        </w:rPr>
        <w:t>的其他公众公司的财务及公告文件或者非公众公司、主体的国家企业信息公示系统的记录、与其他中介机构和发行人员工谈话等方法，并取得董监高调查函、查询中国裁判文书网等方法，调查了解董监高的教育经历、专业资历、任职经历以及是否存在《公司法》</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2018年修订）</w:t>
      </w:r>
      <w:r>
        <w:rPr>
          <w:rFonts w:hint="eastAsia" w:ascii="仿宋_GB2312" w:hAnsi="宋体" w:eastAsia="仿宋_GB2312"/>
          <w:color w:val="000000"/>
          <w:sz w:val="32"/>
          <w:szCs w:val="32"/>
        </w:rPr>
        <w:t>第</w:t>
      </w:r>
      <w:r>
        <w:rPr>
          <w:rFonts w:ascii="仿宋_GB2312" w:hAnsi="宋体" w:eastAsia="仿宋_GB2312"/>
          <w:color w:val="000000"/>
          <w:sz w:val="32"/>
          <w:szCs w:val="32"/>
        </w:rPr>
        <w:t>146条规定不得担任公司</w:t>
      </w:r>
      <w:r>
        <w:rPr>
          <w:rFonts w:hint="eastAsia" w:ascii="仿宋_GB2312" w:hAnsi="宋体" w:eastAsia="仿宋_GB2312"/>
          <w:color w:val="000000"/>
          <w:sz w:val="32"/>
          <w:szCs w:val="32"/>
        </w:rPr>
        <w:t>董监高</w:t>
      </w:r>
      <w:r>
        <w:rPr>
          <w:rFonts w:ascii="仿宋_GB2312" w:hAnsi="宋体" w:eastAsia="仿宋_GB2312"/>
          <w:color w:val="000000"/>
          <w:sz w:val="32"/>
          <w:szCs w:val="32"/>
        </w:rPr>
        <w:t>的情况，是否与之前任职单位存在竞业禁止、劳动纠纷等风险。</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2）查询中国裁判文书网、国家信用信息公示系统等公开网站，取得</w:t>
      </w:r>
      <w:r>
        <w:rPr>
          <w:rFonts w:hint="eastAsia" w:ascii="仿宋_GB2312" w:hAnsi="宋体" w:eastAsia="仿宋_GB2312"/>
          <w:color w:val="000000"/>
          <w:kern w:val="0"/>
          <w:sz w:val="32"/>
          <w:szCs w:val="32"/>
        </w:rPr>
        <w:t>董监高</w:t>
      </w:r>
      <w:r>
        <w:rPr>
          <w:rFonts w:hint="eastAsia" w:ascii="仿宋_GB2312" w:hAnsi="宋体" w:eastAsia="仿宋_GB2312"/>
          <w:color w:val="000000"/>
          <w:sz w:val="32"/>
          <w:szCs w:val="32"/>
        </w:rPr>
        <w:t>户籍所在地和</w:t>
      </w:r>
      <w:r>
        <w:rPr>
          <w:rFonts w:ascii="仿宋_GB2312" w:hAnsi="宋体" w:eastAsia="仿宋_GB2312"/>
          <w:color w:val="000000"/>
          <w:sz w:val="32"/>
          <w:szCs w:val="32"/>
        </w:rPr>
        <w:t>/或经常居住地公安局/派出所出具的无犯罪记录证明</w:t>
      </w:r>
      <w:r>
        <w:rPr>
          <w:rFonts w:hint="eastAsia" w:ascii="仿宋_GB2312" w:hAnsi="宋体" w:eastAsia="仿宋_GB2312"/>
          <w:color w:val="000000"/>
          <w:sz w:val="32"/>
          <w:szCs w:val="32"/>
        </w:rPr>
        <w:t>，必要时，走访司法机关、政府部门，访谈相关人员，调查</w:t>
      </w:r>
      <w:r>
        <w:rPr>
          <w:rFonts w:hint="eastAsia" w:ascii="仿宋_GB2312" w:hAnsi="宋体" w:eastAsia="仿宋_GB2312"/>
          <w:color w:val="000000"/>
          <w:kern w:val="0"/>
          <w:sz w:val="32"/>
          <w:szCs w:val="32"/>
        </w:rPr>
        <w:t>董监高</w:t>
      </w:r>
      <w:r>
        <w:rPr>
          <w:rFonts w:hint="eastAsia" w:ascii="仿宋_GB2312" w:hAnsi="宋体" w:eastAsia="仿宋_GB2312"/>
          <w:color w:val="000000"/>
          <w:sz w:val="32"/>
          <w:szCs w:val="32"/>
        </w:rPr>
        <w:t>最近</w:t>
      </w:r>
      <w:r>
        <w:rPr>
          <w:rFonts w:ascii="仿宋_GB2312" w:hAnsi="宋体" w:eastAsia="仿宋_GB2312"/>
          <w:color w:val="000000"/>
          <w:sz w:val="32"/>
          <w:szCs w:val="32"/>
        </w:rPr>
        <w:t>3年内是否存在受到行政或刑事处罚，或因涉嫌犯罪正在被立案侦查或立案调查，是否存在作为一方当事人可能对发行人产生重大影响的民事纠纷或诉讼仲裁事项，是否存在违法犯罪记录，是否与之前任职单位存在竞业禁止、劳动纠纷等情况。</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3）查询</w:t>
      </w:r>
      <w:r>
        <w:rPr>
          <w:rFonts w:hint="eastAsia" w:ascii="仿宋_GB2312" w:hAnsi="宋体" w:eastAsia="仿宋_GB2312"/>
          <w:color w:val="000000"/>
          <w:sz w:val="32"/>
          <w:szCs w:val="32"/>
        </w:rPr>
        <w:t>董监高曾担任</w:t>
      </w:r>
      <w:r>
        <w:rPr>
          <w:rFonts w:hint="eastAsia" w:ascii="仿宋_GB2312" w:hAnsi="宋体" w:eastAsia="仿宋_GB2312"/>
          <w:color w:val="000000"/>
          <w:kern w:val="0"/>
          <w:sz w:val="32"/>
          <w:szCs w:val="32"/>
        </w:rPr>
        <w:t>董监高、执行事务合伙人、主要负责人</w:t>
      </w:r>
      <w:r>
        <w:rPr>
          <w:rFonts w:hint="eastAsia" w:ascii="仿宋_GB2312" w:hAnsi="宋体" w:eastAsia="仿宋_GB2312"/>
          <w:color w:val="000000"/>
          <w:sz w:val="32"/>
          <w:szCs w:val="32"/>
        </w:rPr>
        <w:t>的主体所披露的信息，查询国家企业信用信息公示系统，判断董监高过往的任职经历和履历的真实性，调查董监高是否担任过</w:t>
      </w:r>
      <w:r>
        <w:rPr>
          <w:rFonts w:ascii="仿宋_GB2312" w:hAnsi="宋体" w:eastAsia="仿宋_GB2312"/>
          <w:color w:val="000000"/>
          <w:sz w:val="32"/>
          <w:szCs w:val="32"/>
        </w:rPr>
        <w:t>破产清算的公司、企业的董事或者厂长、经理，或因违法被吊销营业执照、责令关闭的公司、企业的法定代表人，</w:t>
      </w:r>
      <w:r>
        <w:rPr>
          <w:rFonts w:hint="eastAsia" w:ascii="仿宋_GB2312" w:hAnsi="宋体" w:eastAsia="仿宋_GB2312"/>
          <w:color w:val="000000"/>
          <w:sz w:val="32"/>
          <w:szCs w:val="32"/>
        </w:rPr>
        <w:t>同时判断董监高的履职胜任能力。</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4）通过网络、证监会市场诚信信息查询平台、调取董监高个人征信报告等方式调查董监高的诚信记录，是否被证监会、交易所等有关部门采取监管措施。</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5）某些特殊行业（如证券业、银行业、矿业等）或企业性质（如国有企业）法规对董监高任职资格有特别规定的，逐条调查公司董监高人员任职资格是否符合特别规定；</w:t>
      </w:r>
      <w:r>
        <w:rPr>
          <w:rFonts w:hint="eastAsia" w:ascii="仿宋_GB2312" w:hAnsi="宋体" w:eastAsia="仿宋_GB2312"/>
          <w:color w:val="000000"/>
          <w:sz w:val="32"/>
          <w:szCs w:val="32"/>
        </w:rPr>
        <w:t>如</w:t>
      </w:r>
      <w:r>
        <w:rPr>
          <w:rFonts w:ascii="仿宋_GB2312" w:hAnsi="宋体" w:eastAsia="仿宋_GB2312"/>
          <w:color w:val="000000"/>
          <w:sz w:val="32"/>
          <w:szCs w:val="32"/>
        </w:rPr>
        <w:t>董监高及核心技术人员任职资格需经监管部门核准或备案的，取得相关的批准或备案文件。</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6）</w:t>
      </w:r>
      <w:r>
        <w:rPr>
          <w:rFonts w:hint="eastAsia" w:ascii="仿宋_GB2312" w:hAnsi="宋体" w:eastAsia="仿宋_GB2312"/>
          <w:color w:val="000000"/>
          <w:sz w:val="32"/>
          <w:szCs w:val="32"/>
        </w:rPr>
        <w:t>取得公司章程、三会制度、内部人事聘用制度、以及董监高任免的三会文件，了解董监高及核心技术人员的任职是否符合法律、法规规定的任职资格、任免程序，董监高任职是否合法有效</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7）通过与董监高人员谈话、组织董监高人员学习、参加监管机构考试等方法，调查董监高人员是否已掌握进入证券市场应具备的法律、行政法规和相关知识，是否已知悉上市公司及其董监高人员的法定义务和责任，是否具备足够的诚信水准和管理上市公司的能力及经验。</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8）调查董监高及核心技术人员相互之间是否存在亲属关系。</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9）取得发行人与</w:t>
      </w:r>
      <w:r>
        <w:rPr>
          <w:rFonts w:hint="eastAsia" w:ascii="仿宋_GB2312" w:hAnsi="宋体" w:eastAsia="仿宋_GB2312"/>
          <w:color w:val="000000"/>
          <w:kern w:val="0"/>
          <w:sz w:val="32"/>
          <w:szCs w:val="32"/>
        </w:rPr>
        <w:t>董监高</w:t>
      </w:r>
      <w:r>
        <w:rPr>
          <w:rFonts w:hint="eastAsia" w:ascii="仿宋_GB2312" w:hAnsi="宋体" w:eastAsia="仿宋_GB2312"/>
          <w:color w:val="000000"/>
          <w:sz w:val="32"/>
          <w:szCs w:val="32"/>
        </w:rPr>
        <w:t>所签订的协议或承诺文件，关注</w:t>
      </w:r>
      <w:r>
        <w:rPr>
          <w:rFonts w:hint="eastAsia" w:ascii="仿宋_GB2312" w:hAnsi="宋体" w:eastAsia="仿宋_GB2312"/>
          <w:color w:val="000000"/>
          <w:kern w:val="0"/>
          <w:sz w:val="32"/>
          <w:szCs w:val="32"/>
        </w:rPr>
        <w:t>董监高</w:t>
      </w:r>
      <w:r>
        <w:rPr>
          <w:rFonts w:hint="eastAsia" w:ascii="仿宋_GB2312" w:hAnsi="宋体" w:eastAsia="仿宋_GB2312"/>
          <w:color w:val="000000"/>
          <w:sz w:val="32"/>
          <w:szCs w:val="32"/>
        </w:rPr>
        <w:t>作出的重要承诺，以及有关协议或承诺的履行情况。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胜任能力</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通过查询有关资料，与董监高人员、其他中介机构、发行人员工访谈等方法，了解发行人董监高人员曾担任董监高人员的其他公司的规范运作情况以及该公司经营情况，分析董监高人员管理公司的能力，是否切实履行忠实义务和勤勉义务。</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通过与高级管理人员分别谈话、与发行人员工谈话等方法，了解发行人员工对高级管理人员的评价，发行人高级管理人员是否团结，关键管理人员之间是否存在重大分歧和矛盾，是否会对发行人经营产生现实或潜在的重大影响。</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通过与高级管理人员分别谈话、与发行人员工谈话、查阅三会及总经理办公会纪要等方法，了解每名高级管理人员投入发行人业务的时间，分析高级管理人员是否有足够时间和精力勤勉尽责地管理公司。</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分别与董事长、总经理、财务负责人和董事会秘书（包括但不限于上述人员）就公司现状、发展前景等方面问题进行交谈，了解高级管理人员的胜任能力和勤勉尽责情况。这些问题包括但不限于：</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（一）发行人所处行业的基本情况及发展趋势；</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（二）发行人的发展战略、经营理念和经营模式、业务发展目标以及历年发展计划的执行和实现情况；</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（三）与竞争对手比较，发行人的竞争优势和劣势；</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（四）发行人经营中存在的主要问题和风险，有何解决措施；</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（五）对公司治理结构及内部控制情况的评价；</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（六）在扩大市场份额、开拓客户方面有何措施；</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（七）如何保证经营计划及财务计划的有效实施；</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（八）如何使用募集资金；</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（九）发行人上市的主要目的。</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3、与离职相关的核查</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应关注报告期内离职董监高及关键岗位人员的离职原因，并结合对发行人业务的影响、资金流水往来等情况落实对该等人员的核查。</w:t>
      </w:r>
    </w:p>
    <w:p>
      <w:pPr>
        <w:spacing w:line="360" w:lineRule="auto"/>
        <w:ind w:firstLine="640" w:firstLineChars="200"/>
        <w:outlineLvl w:val="2"/>
        <w:rPr>
          <w:rFonts w:ascii="仿宋_GB2312" w:hAnsi="宋体" w:eastAsia="仿宋_GB2312"/>
          <w:color w:val="000000"/>
          <w:sz w:val="32"/>
          <w:szCs w:val="32"/>
        </w:rPr>
      </w:pPr>
      <w:bookmarkStart w:id="65" w:name="_Toc105940622"/>
      <w:bookmarkStart w:id="66" w:name="_Toc76472356"/>
      <w:r>
        <w:rPr>
          <w:rFonts w:ascii="仿宋_GB2312" w:hAnsi="宋体" w:eastAsia="仿宋_GB2312"/>
          <w:color w:val="000000"/>
          <w:sz w:val="32"/>
          <w:szCs w:val="32"/>
        </w:rPr>
        <w:t xml:space="preserve">4.5.9  </w:t>
      </w:r>
      <w:r>
        <w:rPr>
          <w:rFonts w:hint="eastAsia" w:ascii="仿宋_GB2312" w:hAnsi="宋体" w:eastAsia="仿宋_GB2312"/>
          <w:color w:val="000000"/>
          <w:sz w:val="32"/>
          <w:szCs w:val="32"/>
        </w:rPr>
        <w:t>员工持股计划和股权激励计划</w:t>
      </w:r>
      <w:bookmarkEnd w:id="65"/>
      <w:bookmarkEnd w:id="66"/>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如发行人在首发申报之前实施员工持股计划的，了解员工持股计划的设立背景、具体人员构成、价格公允性、是否涉及股份支付及其会计处理情况、员工持股计划章程或协议约定情况、员工减持承诺情况、员工持股的流转和退出机制、规范运行情况及备案情况。通过查询员工花名册、劳动合同等，核查员工持股计划是否全部由公司员工构成，是否严格按照法律、法规、规章及规范性文件要求履行决策程序，并遵循公司自主决定、员工自愿参加的原则；如员工以科技成果出资入股的，核查所有权属证明，是否评估作价，是否及时办理了财产权转移手续。</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如发行人存在首发申报前制定或实施股权激励、期权激励情况，了解激励对象是否符合相关上市板块的规定，查阅激励计划、激励实施文件、内部审批决策文件、劳动合同</w:t>
      </w:r>
      <w:r>
        <w:rPr>
          <w:rFonts w:ascii="仿宋_GB2312" w:hAnsi="宋体" w:eastAsia="仿宋_GB2312"/>
          <w:color w:val="000000" w:themeColor="text1"/>
          <w:sz w:val="32"/>
          <w:szCs w:val="32"/>
          <w14:textFill>
            <w14:solidFill>
              <w14:schemeClr w14:val="tx1"/>
            </w14:solidFill>
          </w14:textFill>
        </w:rPr>
        <w:t>/服务协议、缴款证明文件等资料，核查激励具体情况，包括数量、涉及金额、授予时间、授予比例、行权时间、人数等；历次股票期权行权价格确定的依据及合理性</w:t>
      </w:r>
      <w:r>
        <w:rPr>
          <w:rFonts w:hint="eastAsia" w:ascii="仿宋_GB2312" w:hAnsi="宋体" w:eastAsia="仿宋_GB2312"/>
          <w:color w:val="000000" w:themeColor="text1"/>
          <w:sz w:val="32"/>
          <w:szCs w:val="32"/>
          <w14:textFill>
            <w14:solidFill>
              <w14:schemeClr w14:val="tx1"/>
            </w14:solidFill>
          </w14:textFill>
        </w:rPr>
        <w:t>，期权的行权价格是否低于最近一年经审计的净资产或评估值；发行人全部在有效期内的期权激励计划所对应股票数量占上市前总股本的比例是否超过</w:t>
      </w:r>
      <w:r>
        <w:rPr>
          <w:rFonts w:ascii="仿宋_GB2312" w:hAnsi="宋体" w:eastAsia="仿宋_GB2312"/>
          <w:color w:val="000000" w:themeColor="text1"/>
          <w:sz w:val="32"/>
          <w:szCs w:val="32"/>
          <w14:textFill>
            <w14:solidFill>
              <w14:schemeClr w14:val="tx1"/>
            </w14:solidFill>
          </w14:textFill>
        </w:rPr>
        <w:t>15%；</w:t>
      </w:r>
      <w:r>
        <w:rPr>
          <w:rFonts w:hint="eastAsia" w:ascii="仿宋_GB2312" w:hAnsi="宋体" w:eastAsia="仿宋_GB2312"/>
          <w:color w:val="000000" w:themeColor="text1"/>
          <w:sz w:val="32"/>
          <w:szCs w:val="32"/>
          <w14:textFill>
            <w14:solidFill>
              <w14:schemeClr w14:val="tx1"/>
            </w14:solidFill>
          </w14:textFill>
        </w:rPr>
        <w:t>是否设置预留权益；</w:t>
      </w:r>
      <w:r>
        <w:rPr>
          <w:rFonts w:ascii="仿宋_GB2312" w:hAnsi="宋体" w:eastAsia="仿宋_GB2312"/>
          <w:color w:val="000000" w:themeColor="text1"/>
          <w:sz w:val="32"/>
          <w:szCs w:val="32"/>
          <w14:textFill>
            <w14:solidFill>
              <w14:schemeClr w14:val="tx1"/>
            </w14:solidFill>
          </w14:textFill>
        </w:rPr>
        <w:t>是否经过全体职工或股东大会确认；是否签订合理的服务协议，协议是否存在影响股权转让公允价值确定的相关条款；是否足额缴纳、真实到位；以上安排是否可能对员工权益产生损害，是否存在相关诉讼纠纷或潜在法律风险；</w:t>
      </w:r>
      <w:r>
        <w:rPr>
          <w:rFonts w:hint="eastAsia" w:ascii="仿宋_GB2312" w:hAnsi="宋体" w:eastAsia="仿宋_GB2312"/>
          <w:color w:val="000000" w:themeColor="text1"/>
          <w:sz w:val="32"/>
          <w:szCs w:val="32"/>
          <w14:textFill>
            <w14:solidFill>
              <w14:schemeClr w14:val="tx1"/>
            </w14:solidFill>
          </w14:textFill>
        </w:rPr>
        <w:t>激励计划对公司经营状况、财务状况、控制权变化等方面的影响；</w:t>
      </w:r>
      <w:r>
        <w:rPr>
          <w:rFonts w:ascii="仿宋_GB2312" w:hAnsi="宋体" w:eastAsia="仿宋_GB2312"/>
          <w:color w:val="000000" w:themeColor="text1"/>
          <w:sz w:val="32"/>
          <w:szCs w:val="32"/>
          <w14:textFill>
            <w14:solidFill>
              <w14:schemeClr w14:val="tx1"/>
            </w14:solidFill>
          </w14:textFill>
        </w:rPr>
        <w:t>存在股份支付的情形的，核查相关股权定价的依据及其合理性，公允价值与最近一次外部投资者入股价格的差异，</w:t>
      </w:r>
      <w:r>
        <w:rPr>
          <w:rFonts w:hint="eastAsia" w:ascii="仿宋_GB2312" w:hAnsi="宋体" w:eastAsia="仿宋_GB2312"/>
          <w:color w:val="000000" w:themeColor="text1"/>
          <w:sz w:val="32"/>
          <w:szCs w:val="32"/>
          <w14:textFill>
            <w14:solidFill>
              <w14:schemeClr w14:val="tx1"/>
            </w14:solidFill>
          </w14:textFill>
        </w:rPr>
        <w:t>涉及股份支付费用的会计处理；上市后行权认购的股票减持承诺情况</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outlineLvl w:val="2"/>
        <w:rPr>
          <w:rFonts w:ascii="仿宋_GB2312" w:hAnsi="宋体" w:eastAsia="仿宋_GB2312"/>
          <w:color w:val="000000"/>
          <w:sz w:val="32"/>
          <w:szCs w:val="32"/>
        </w:rPr>
      </w:pPr>
      <w:bookmarkStart w:id="67" w:name="_Toc105940623"/>
      <w:bookmarkStart w:id="68" w:name="_Toc76472357"/>
      <w:r>
        <w:rPr>
          <w:rFonts w:ascii="仿宋_GB2312" w:hAnsi="宋体" w:eastAsia="仿宋_GB2312"/>
          <w:color w:val="000000"/>
          <w:sz w:val="32"/>
          <w:szCs w:val="32"/>
        </w:rPr>
        <w:t xml:space="preserve">4.5.10  </w:t>
      </w:r>
      <w:r>
        <w:rPr>
          <w:rFonts w:hint="eastAsia" w:ascii="仿宋_GB2312" w:hAnsi="宋体" w:eastAsia="仿宋_GB2312"/>
          <w:color w:val="000000"/>
          <w:sz w:val="32"/>
          <w:szCs w:val="32"/>
        </w:rPr>
        <w:t>发行人所处行业</w:t>
      </w:r>
      <w:bookmarkEnd w:id="67"/>
      <w:bookmarkEnd w:id="68"/>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行业分类</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发行人可以</w:t>
      </w:r>
      <w:r>
        <w:rPr>
          <w:rFonts w:ascii="仿宋_GB2312" w:hAnsi="宋体" w:eastAsia="仿宋_GB2312"/>
          <w:color w:val="000000" w:themeColor="text1"/>
          <w:sz w:val="32"/>
          <w:szCs w:val="32"/>
          <w14:textFill>
            <w14:solidFill>
              <w14:schemeClr w14:val="tx1"/>
            </w14:solidFill>
          </w14:textFill>
        </w:rPr>
        <w:t>按照《上市公司行业分类指引》《国民经济行业分类》</w:t>
      </w:r>
      <w:r>
        <w:rPr>
          <w:rFonts w:hint="eastAsia" w:ascii="仿宋_GB2312" w:hAnsi="宋体" w:eastAsia="仿宋_GB2312"/>
          <w:color w:val="000000" w:themeColor="text1"/>
          <w:sz w:val="32"/>
          <w:szCs w:val="32"/>
          <w14:textFill>
            <w14:solidFill>
              <w14:schemeClr w14:val="tx1"/>
            </w14:solidFill>
          </w14:textFill>
        </w:rPr>
        <w:t>《战略性新兴产业分类》等</w:t>
      </w:r>
      <w:r>
        <w:rPr>
          <w:rFonts w:ascii="仿宋_GB2312" w:hAnsi="宋体" w:eastAsia="仿宋_GB2312"/>
          <w:color w:val="000000" w:themeColor="text1"/>
          <w:sz w:val="32"/>
          <w:szCs w:val="32"/>
          <w14:textFill>
            <w14:solidFill>
              <w14:schemeClr w14:val="tx1"/>
            </w14:solidFill>
          </w14:textFill>
        </w:rPr>
        <w:t>确定发行人所属行业类型。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行业政策</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通过与发行人访谈或查阅行业相关信息取得行业主管部门</w:t>
      </w:r>
      <w:r>
        <w:rPr>
          <w:rFonts w:hint="eastAsia" w:ascii="仿宋_GB2312" w:hAnsi="宋体" w:eastAsia="仿宋_GB2312"/>
          <w:color w:val="000000" w:themeColor="text1"/>
          <w:sz w:val="32"/>
          <w:szCs w:val="32"/>
          <w14:textFill>
            <w14:solidFill>
              <w14:schemeClr w14:val="tx1"/>
            </w14:solidFill>
          </w14:textFill>
        </w:rPr>
        <w:t>、行业协会</w:t>
      </w:r>
      <w:r>
        <w:rPr>
          <w:rFonts w:ascii="仿宋_GB2312" w:hAnsi="宋体" w:eastAsia="仿宋_GB2312"/>
          <w:color w:val="000000" w:themeColor="text1"/>
          <w:sz w:val="32"/>
          <w:szCs w:val="32"/>
          <w14:textFill>
            <w14:solidFill>
              <w14:schemeClr w14:val="tx1"/>
            </w14:solidFill>
          </w14:textFill>
        </w:rPr>
        <w:t>及其制定的发展规划、行业管理方面的法律法规及规范性文件，了解行业监管体制和政策趋势。</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3、行业竞争环境和发展趋势</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1）核查发行人所处行业的市场环境、市场容量、市场细分、市场化程度、进入壁垒、供求状况、竞争状况</w:t>
      </w:r>
      <w:r>
        <w:rPr>
          <w:rFonts w:hint="eastAsia" w:ascii="仿宋_GB2312" w:hAnsi="宋体" w:eastAsia="仿宋_GB2312"/>
          <w:color w:val="000000" w:themeColor="text1"/>
          <w:sz w:val="32"/>
          <w:szCs w:val="32"/>
          <w14:textFill>
            <w14:solidFill>
              <w14:schemeClr w14:val="tx1"/>
            </w14:solidFill>
          </w14:textFill>
        </w:rPr>
        <w:t>、行业集中度</w:t>
      </w:r>
      <w:r>
        <w:rPr>
          <w:rFonts w:ascii="仿宋_GB2312" w:hAnsi="宋体" w:eastAsia="仿宋_GB2312"/>
          <w:color w:val="000000" w:themeColor="text1"/>
          <w:sz w:val="32"/>
          <w:szCs w:val="32"/>
          <w14:textFill>
            <w14:solidFill>
              <w14:schemeClr w14:val="tx1"/>
            </w14:solidFill>
          </w14:textFill>
        </w:rPr>
        <w:t>、行业利润水平和未来变动情况。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2）通过访谈发行人</w:t>
      </w:r>
      <w:r>
        <w:rPr>
          <w:rFonts w:hint="eastAsia" w:ascii="仿宋_GB2312" w:hAnsi="宋体" w:eastAsia="仿宋_GB2312"/>
          <w:color w:val="000000" w:themeColor="text1"/>
          <w:sz w:val="32"/>
          <w:szCs w:val="32"/>
          <w14:textFill>
            <w14:solidFill>
              <w14:schemeClr w14:val="tx1"/>
            </w14:solidFill>
          </w14:textFill>
        </w:rPr>
        <w:t>、供应商或客户、</w:t>
      </w:r>
      <w:r>
        <w:rPr>
          <w:rFonts w:ascii="仿宋_GB2312" w:hAnsi="宋体" w:eastAsia="仿宋_GB2312"/>
          <w:color w:val="000000" w:themeColor="text1"/>
          <w:sz w:val="32"/>
          <w:szCs w:val="32"/>
          <w14:textFill>
            <w14:solidFill>
              <w14:schemeClr w14:val="tx1"/>
            </w14:solidFill>
          </w14:textFill>
        </w:rPr>
        <w:t>行业专家，查询</w:t>
      </w:r>
      <w:r>
        <w:rPr>
          <w:rFonts w:hint="eastAsia" w:ascii="仿宋_GB2312" w:hAnsi="宋体" w:eastAsia="仿宋_GB2312"/>
          <w:color w:val="000000" w:themeColor="text1"/>
          <w:sz w:val="32"/>
          <w:szCs w:val="32"/>
          <w14:textFill>
            <w14:solidFill>
              <w14:schemeClr w14:val="tx1"/>
            </w14:solidFill>
          </w14:textFill>
        </w:rPr>
        <w:t>行业协会公开信息、竞争对手（如有）公开信息等</w:t>
      </w:r>
      <w:r>
        <w:rPr>
          <w:rFonts w:ascii="仿宋_GB2312" w:hAnsi="宋体" w:eastAsia="仿宋_GB2312"/>
          <w:color w:val="000000" w:themeColor="text1"/>
          <w:sz w:val="32"/>
          <w:szCs w:val="32"/>
          <w14:textFill>
            <w14:solidFill>
              <w14:schemeClr w14:val="tx1"/>
            </w14:solidFill>
          </w14:textFill>
        </w:rPr>
        <w:t>相关行业信息</w:t>
      </w:r>
      <w:r>
        <w:rPr>
          <w:rFonts w:hint="eastAsia" w:ascii="仿宋_GB2312" w:hAnsi="宋体" w:eastAsia="仿宋_GB2312"/>
          <w:color w:val="000000" w:themeColor="text1"/>
          <w:sz w:val="32"/>
          <w:szCs w:val="32"/>
          <w14:textFill>
            <w14:solidFill>
              <w14:schemeClr w14:val="tx1"/>
            </w14:solidFill>
          </w14:textFill>
        </w:rPr>
        <w:t>，获得权威的行业研究报告</w:t>
      </w:r>
      <w:r>
        <w:rPr>
          <w:rFonts w:ascii="仿宋_GB2312" w:hAnsi="宋体" w:eastAsia="仿宋_GB2312"/>
          <w:color w:val="000000" w:themeColor="text1"/>
          <w:sz w:val="32"/>
          <w:szCs w:val="32"/>
          <w14:textFill>
            <w14:solidFill>
              <w14:schemeClr w14:val="tx1"/>
            </w14:solidFill>
          </w14:textFill>
        </w:rPr>
        <w:t>，了解发行人所处行业的主要企业及其市场份额</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发行人所处行业的技术水平及技术特点</w:t>
      </w:r>
      <w:r>
        <w:rPr>
          <w:rFonts w:hint="eastAsia" w:ascii="仿宋_GB2312" w:hAnsi="宋体" w:eastAsia="仿宋_GB2312"/>
          <w:color w:val="000000" w:themeColor="text1"/>
          <w:sz w:val="32"/>
          <w:szCs w:val="32"/>
          <w14:textFill>
            <w14:solidFill>
              <w14:schemeClr w14:val="tx1"/>
            </w14:solidFill>
          </w14:textFill>
        </w:rPr>
        <w:t>，结合国内外经济形势和国家产业政策，</w:t>
      </w:r>
      <w:r>
        <w:rPr>
          <w:rFonts w:ascii="仿宋_GB2312" w:hAnsi="宋体" w:eastAsia="仿宋_GB2312"/>
          <w:color w:val="000000" w:themeColor="text1"/>
          <w:sz w:val="32"/>
          <w:szCs w:val="32"/>
          <w14:textFill>
            <w14:solidFill>
              <w14:schemeClr w14:val="tx1"/>
            </w14:solidFill>
          </w14:textFill>
        </w:rPr>
        <w:t>判断行业的发展前景及行业发展的有利和不利因素。了解竞争对手的概况、市场份额、优势劣势等情况，以及发行人在行业中所处的竞争地位及竞争地位的变动情况。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通过访谈行业专家、供应商、客户、发行人的主要负责人和销售部门的负责人，并结合取得的发行人的销售收入的各季度分布情况和按地域的分布情况，了解发行人所处行业的周期性、区域性或季节性特征。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w:t>
      </w:r>
      <w:r>
        <w:rPr>
          <w:rFonts w:ascii="仿宋_GB2312" w:hAnsi="宋体" w:eastAsia="仿宋_GB2312"/>
          <w:color w:val="000000" w:themeColor="text1"/>
          <w:sz w:val="32"/>
          <w:szCs w:val="32"/>
          <w14:textFill>
            <w14:solidFill>
              <w14:schemeClr w14:val="tx1"/>
            </w14:solidFill>
          </w14:textFill>
        </w:rPr>
        <w:t>）通过访谈发行人的主要负责人和销售部门的负责人，查询竞争对手的公开信息、网站、访谈行业专家、供应商和客户，了解行业内企业采用的主要商业模式、销售模式、盈利模式，是否存在该行业特有的经营模式，了解报告期发行人的经营模式的变化情况及未来是否存在经营模式转型的计划，发行人所采用的模式存在的主要风险及对发行人未来生产经营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w:t>
      </w:r>
      <w:r>
        <w:rPr>
          <w:rFonts w:ascii="仿宋_GB2312" w:hAnsi="宋体" w:eastAsia="仿宋_GB2312"/>
          <w:color w:val="000000" w:themeColor="text1"/>
          <w:sz w:val="32"/>
          <w:szCs w:val="32"/>
          <w14:textFill>
            <w14:solidFill>
              <w14:schemeClr w14:val="tx1"/>
            </w14:solidFill>
          </w14:textFill>
        </w:rPr>
        <w:t>）对行业与其上下游行业的关联度、上下游行业的发展前景</w:t>
      </w:r>
      <w:r>
        <w:rPr>
          <w:rFonts w:hint="eastAsia" w:ascii="仿宋_GB2312" w:hAnsi="宋体" w:eastAsia="仿宋_GB2312"/>
          <w:color w:val="000000" w:themeColor="text1"/>
          <w:sz w:val="32"/>
          <w:szCs w:val="32"/>
          <w14:textFill>
            <w14:solidFill>
              <w14:schemeClr w14:val="tx1"/>
            </w14:solidFill>
          </w14:textFill>
        </w:rPr>
        <w:t>、上下游供求情况</w:t>
      </w:r>
      <w:r>
        <w:rPr>
          <w:rFonts w:ascii="仿宋_GB2312" w:hAnsi="宋体" w:eastAsia="仿宋_GB2312"/>
          <w:color w:val="000000" w:themeColor="text1"/>
          <w:sz w:val="32"/>
          <w:szCs w:val="32"/>
          <w14:textFill>
            <w14:solidFill>
              <w14:schemeClr w14:val="tx1"/>
            </w14:solidFill>
          </w14:textFill>
        </w:rPr>
        <w:t>、产品用途的广度、产品替代趋势等进行分析论证，并了解上下游行业变动及变动趋势</w:t>
      </w:r>
      <w:r>
        <w:rPr>
          <w:rFonts w:hint="eastAsia" w:ascii="仿宋_GB2312" w:hAnsi="宋体" w:eastAsia="仿宋_GB2312"/>
          <w:color w:val="000000" w:themeColor="text1"/>
          <w:sz w:val="32"/>
          <w:szCs w:val="32"/>
          <w14:textFill>
            <w14:solidFill>
              <w14:schemeClr w14:val="tx1"/>
            </w14:solidFill>
          </w14:textFill>
        </w:rPr>
        <w:t>、上下游产品价格变动趋势</w:t>
      </w:r>
      <w:r>
        <w:rPr>
          <w:rFonts w:ascii="仿宋_GB2312" w:hAnsi="宋体" w:eastAsia="仿宋_GB2312"/>
          <w:color w:val="000000" w:themeColor="text1"/>
          <w:sz w:val="32"/>
          <w:szCs w:val="32"/>
          <w14:textFill>
            <w14:solidFill>
              <w14:schemeClr w14:val="tx1"/>
            </w14:solidFill>
          </w14:textFill>
        </w:rPr>
        <w:t>对发行人所处行业的有利和不利影响。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w:t>
      </w:r>
      <w:r>
        <w:rPr>
          <w:rFonts w:ascii="仿宋_GB2312" w:hAnsi="宋体" w:eastAsia="仿宋_GB2312"/>
          <w:color w:val="000000" w:themeColor="text1"/>
          <w:sz w:val="32"/>
          <w:szCs w:val="32"/>
          <w14:textFill>
            <w14:solidFill>
              <w14:schemeClr w14:val="tx1"/>
            </w14:solidFill>
          </w14:textFill>
        </w:rPr>
        <w:t>）若发行人存在出口业务的情况，针对出口型企业，若出</w:t>
      </w:r>
      <w:r>
        <w:rPr>
          <w:rFonts w:hint="eastAsia" w:ascii="仿宋_GB2312" w:hAnsi="宋体" w:eastAsia="仿宋_GB2312"/>
          <w:color w:val="000000" w:themeColor="text1"/>
          <w:sz w:val="32"/>
          <w:szCs w:val="32"/>
          <w14:textFill>
            <w14:solidFill>
              <w14:schemeClr w14:val="tx1"/>
            </w14:solidFill>
          </w14:textFill>
        </w:rPr>
        <w:t>口</w:t>
      </w:r>
      <w:r>
        <w:rPr>
          <w:rFonts w:ascii="仿宋_GB2312" w:hAnsi="宋体" w:eastAsia="仿宋_GB2312"/>
          <w:color w:val="000000" w:themeColor="text1"/>
          <w:sz w:val="32"/>
          <w:szCs w:val="32"/>
          <w14:textFill>
            <w14:solidFill>
              <w14:schemeClr w14:val="tx1"/>
            </w14:solidFill>
          </w14:textFill>
        </w:rPr>
        <w:t>比例较大，需调查相关产品进口国的有关进口政策、贸易磨擦</w:t>
      </w:r>
      <w:r>
        <w:rPr>
          <w:rFonts w:hint="eastAsia" w:ascii="仿宋_GB2312" w:hAnsi="宋体" w:eastAsia="仿宋_GB2312"/>
          <w:color w:val="000000" w:themeColor="text1"/>
          <w:sz w:val="32"/>
          <w:szCs w:val="32"/>
          <w14:textFill>
            <w14:solidFill>
              <w14:schemeClr w14:val="tx1"/>
            </w14:solidFill>
          </w14:textFill>
        </w:rPr>
        <w:t>、汇率变动</w:t>
      </w:r>
      <w:r>
        <w:rPr>
          <w:rFonts w:ascii="仿宋_GB2312" w:hAnsi="宋体" w:eastAsia="仿宋_GB2312"/>
          <w:color w:val="000000" w:themeColor="text1"/>
          <w:sz w:val="32"/>
          <w:szCs w:val="32"/>
          <w14:textFill>
            <w14:solidFill>
              <w14:schemeClr w14:val="tx1"/>
            </w14:solidFill>
          </w14:textFill>
        </w:rPr>
        <w:t>对产品进口的影响、以及进口国同类产品的竞争格局等情况，并分析出口市场的变动对发行人的影响。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7）若有发行人聘请第三方咨询机构提供有关行业研究服务的，保荐人应当通过公开渠道或咨询机构的说明了解其是否具有相应研究能力；针对在招股说明书等文件中引用并对投资者价值判断产生重大影响的关键行业数据、排名等信息，获取咨询机构形成相关数据的基本底表。</w:t>
      </w:r>
    </w:p>
    <w:p>
      <w:pPr>
        <w:spacing w:line="360" w:lineRule="auto"/>
        <w:ind w:firstLine="640" w:firstLineChars="200"/>
        <w:outlineLvl w:val="2"/>
        <w:rPr>
          <w:rFonts w:ascii="仿宋_GB2312" w:hAnsi="宋体" w:eastAsia="仿宋_GB2312"/>
          <w:color w:val="000000"/>
          <w:sz w:val="32"/>
          <w:szCs w:val="32"/>
        </w:rPr>
      </w:pPr>
      <w:bookmarkStart w:id="69" w:name="_Toc76472358"/>
      <w:bookmarkStart w:id="70" w:name="_Toc105940624"/>
      <w:r>
        <w:rPr>
          <w:rFonts w:ascii="仿宋_GB2312" w:hAnsi="宋体" w:eastAsia="仿宋_GB2312"/>
          <w:color w:val="000000"/>
          <w:sz w:val="32"/>
          <w:szCs w:val="32"/>
        </w:rPr>
        <w:t xml:space="preserve">4.5.11  </w:t>
      </w:r>
      <w:r>
        <w:rPr>
          <w:rFonts w:hint="eastAsia" w:ascii="仿宋_GB2312" w:hAnsi="宋体" w:eastAsia="仿宋_GB2312"/>
          <w:color w:val="000000"/>
          <w:sz w:val="32"/>
          <w:szCs w:val="32"/>
        </w:rPr>
        <w:t>销售情况</w:t>
      </w:r>
      <w:bookmarkEnd w:id="69"/>
      <w:bookmarkEnd w:id="70"/>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1、主要客户核查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保荐人可以根据发行人的经营特点、客户集中度、销售地域等综合因素来制</w:t>
      </w:r>
      <w:r>
        <w:rPr>
          <w:rFonts w:hint="eastAsia" w:ascii="仿宋_GB2312" w:hAnsi="宋体" w:eastAsia="仿宋_GB2312"/>
          <w:color w:val="000000" w:themeColor="text1"/>
          <w:sz w:val="32"/>
          <w:szCs w:val="32"/>
          <w:lang w:eastAsia="zh-CN"/>
          <w14:textFill>
            <w14:solidFill>
              <w14:schemeClr w14:val="tx1"/>
            </w14:solidFill>
          </w14:textFill>
        </w:rPr>
        <w:t>定</w:t>
      </w:r>
      <w:r>
        <w:rPr>
          <w:rFonts w:hint="eastAsia" w:ascii="仿宋_GB2312" w:hAnsi="宋体" w:eastAsia="仿宋_GB2312"/>
          <w:color w:val="000000" w:themeColor="text1"/>
          <w:sz w:val="32"/>
          <w:szCs w:val="32"/>
          <w14:textFill>
            <w14:solidFill>
              <w14:schemeClr w14:val="tx1"/>
            </w14:solidFill>
          </w14:textFill>
        </w:rPr>
        <w:t>核查范围，原则上要核查报告期各期的前十大客户或根据发行人具体情况确定的主要客户。若发行人前十大的客户占比较低，可扩大核查范围，并保证样本选取的全面性、代表性，覆盖不同类型及不同地域的客户，其中存在关联关系的重要客户应进行走访。</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保荐人可以执行抽样测试，即通过重点查阅销售订单、合同审批程序、销售合同、出库单、发货单、记账凭证等内部凭证，及验收单据、结算单（对账单）、运输单、销售发票、银行收款回单等外部凭证，至少要覆盖报告期各期的前十大客户或根据发行人具体情况确定的主要客户，必要时以抽样等恰当方法扩大核查范围，核查销售交易是否存在异常。</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3）对于报告期各期主要客户发生较大变化的、客户新增或减少变动异常的，以及对同一客户销售金额存在重大变化的，关注变化的原因及合理性，执行访谈、</w:t>
      </w:r>
      <w:r>
        <w:rPr>
          <w:rFonts w:hint="eastAsia" w:ascii="仿宋_GB2312" w:hAnsi="宋体" w:eastAsia="仿宋_GB2312"/>
          <w:color w:val="000000" w:themeColor="text1"/>
          <w:sz w:val="32"/>
          <w:szCs w:val="32"/>
          <w14:textFill>
            <w14:solidFill>
              <w14:schemeClr w14:val="tx1"/>
            </w14:solidFill>
          </w14:textFill>
        </w:rPr>
        <w:t>函证或抽样测试等恰当的尽职调查程序。</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4）对其它客户异常的情况，如客户的地域分布，</w:t>
      </w:r>
      <w:r>
        <w:rPr>
          <w:rFonts w:hint="eastAsia" w:ascii="仿宋_GB2312" w:hAnsi="宋体" w:eastAsia="仿宋_GB2312"/>
          <w:color w:val="000000" w:themeColor="text1"/>
          <w:sz w:val="32"/>
          <w:szCs w:val="32"/>
          <w14:textFill>
            <w14:solidFill>
              <w14:schemeClr w14:val="tx1"/>
            </w14:solidFill>
          </w14:textFill>
        </w:rPr>
        <w:t>报告期内</w:t>
      </w:r>
      <w:r>
        <w:rPr>
          <w:rFonts w:ascii="仿宋_GB2312" w:hAnsi="宋体" w:eastAsia="仿宋_GB2312"/>
          <w:color w:val="000000" w:themeColor="text1"/>
          <w:sz w:val="32"/>
          <w:szCs w:val="32"/>
          <w14:textFill>
            <w14:solidFill>
              <w14:schemeClr w14:val="tx1"/>
            </w14:solidFill>
          </w14:textFill>
        </w:rPr>
        <w:t>新</w:t>
      </w:r>
      <w:r>
        <w:rPr>
          <w:rFonts w:hint="eastAsia" w:ascii="仿宋_GB2312" w:hAnsi="宋体" w:eastAsia="仿宋_GB2312"/>
          <w:color w:val="000000" w:themeColor="text1"/>
          <w:sz w:val="32"/>
          <w:szCs w:val="32"/>
          <w14:textFill>
            <w14:solidFill>
              <w14:schemeClr w14:val="tx1"/>
            </w14:solidFill>
          </w14:textFill>
        </w:rPr>
        <w:t>增/注销主要客户、</w:t>
      </w:r>
      <w:r>
        <w:rPr>
          <w:rFonts w:ascii="仿宋_GB2312" w:hAnsi="宋体" w:eastAsia="仿宋_GB2312"/>
          <w:color w:val="000000"/>
          <w:sz w:val="32"/>
          <w:szCs w:val="32"/>
        </w:rPr>
        <w:t>非法人实体客户、主要客户为发行人前员工、业务高度依赖发行人的客户、</w:t>
      </w:r>
      <w:r>
        <w:rPr>
          <w:rFonts w:hint="eastAsia" w:ascii="仿宋_GB2312" w:hAnsi="宋体" w:eastAsia="仿宋_GB2312"/>
          <w:color w:val="000000"/>
          <w:sz w:val="32"/>
          <w:szCs w:val="32"/>
        </w:rPr>
        <w:t>既是客户又是供应商、</w:t>
      </w:r>
      <w:r>
        <w:rPr>
          <w:rFonts w:hint="eastAsia" w:ascii="仿宋_GB2312" w:hAnsi="宋体" w:eastAsia="仿宋_GB2312"/>
          <w:color w:val="000000" w:themeColor="text1"/>
          <w:sz w:val="32"/>
          <w:szCs w:val="32"/>
          <w14:textFill>
            <w14:solidFill>
              <w14:schemeClr w14:val="tx1"/>
            </w14:solidFill>
          </w14:textFill>
        </w:rPr>
        <w:t>名称相似、注册地址相近、工商登记电话、邮箱相同、成立时间较短、销售规模和客户生产能力及行业地位不匹配的主要客户、客户不具备相关资质文件或者资质文件过期（如所在行业有特殊要求）等特殊情形，保荐人要充分关注合理性，</w:t>
      </w:r>
      <w:r>
        <w:rPr>
          <w:rFonts w:ascii="仿宋_GB2312" w:hAnsi="宋体" w:eastAsia="仿宋_GB2312"/>
          <w:color w:val="000000"/>
          <w:sz w:val="32"/>
          <w:szCs w:val="32"/>
        </w:rPr>
        <w:t>关注上述主体是否与发行人及关联方存在潜在关联关系</w:t>
      </w:r>
      <w:r>
        <w:rPr>
          <w:rFonts w:hint="eastAsia" w:ascii="仿宋_GB2312" w:hAnsi="宋体" w:eastAsia="仿宋_GB2312"/>
          <w:color w:val="000000"/>
          <w:sz w:val="32"/>
          <w:szCs w:val="32"/>
        </w:rPr>
        <w:t>和</w:t>
      </w:r>
      <w:r>
        <w:rPr>
          <w:rFonts w:ascii="仿宋_GB2312" w:hAnsi="宋体" w:eastAsia="仿宋_GB2312"/>
          <w:color w:val="000000"/>
          <w:sz w:val="32"/>
          <w:szCs w:val="32"/>
        </w:rPr>
        <w:t>异常资金流转</w:t>
      </w:r>
      <w:r>
        <w:rPr>
          <w:rFonts w:hint="eastAsia" w:ascii="仿宋_GB2312" w:hAnsi="宋体" w:eastAsia="仿宋_GB2312"/>
          <w:color w:val="000000"/>
          <w:sz w:val="32"/>
          <w:szCs w:val="32"/>
        </w:rPr>
        <w:t>，</w:t>
      </w:r>
      <w:r>
        <w:rPr>
          <w:rFonts w:hint="eastAsia" w:ascii="仿宋_GB2312" w:hAnsi="宋体" w:eastAsia="仿宋_GB2312"/>
          <w:color w:val="000000" w:themeColor="text1"/>
          <w:sz w:val="32"/>
          <w:szCs w:val="32"/>
          <w14:textFill>
            <w14:solidFill>
              <w14:schemeClr w14:val="tx1"/>
            </w14:solidFill>
          </w14:textFill>
        </w:rPr>
        <w:t>确定恰当的尽调方式核查销售的真实性。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如发行人销售采用经销模式，保荐人可以通过核查发行人报告期内的前十大经销商情况或根据发行人具体情况确定的主要经销商，并对其它经销商客户进行随机抽样核查，充分关注经销商的库存情况及最终销售实现情况，并对此采取适当、合理的核查程序。</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如发行人存在境外销售，保荐人可以通过核查发行人报告期内的境外销售前十大客户或根据发行人具体情况确定的主要客户情况，并对其它境外客户进行随机抽样核查，关注境外销售的实现情况，并对此采取适当、合理的核查程序。</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2、关联销售</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保荐人应重点关注重大关联销售的合理性和必要性。保荐人可以通过</w:t>
      </w:r>
      <w:r>
        <w:rPr>
          <w:rFonts w:ascii="仿宋_GB2312" w:hAnsi="宋体" w:eastAsia="仿宋_GB2312"/>
          <w:color w:val="000000" w:themeColor="text1"/>
          <w:sz w:val="32"/>
          <w:szCs w:val="32"/>
          <w14:textFill>
            <w14:solidFill>
              <w14:schemeClr w14:val="tx1"/>
            </w14:solidFill>
          </w14:textFill>
        </w:rPr>
        <w:t>查阅双方报告期内的关联交易合同，对比关联销售价格与当时的市场公允价格，判断关联销售的定价是否合理，是否存在大股东与发行人之间的利润输送或资金转移情况，</w:t>
      </w:r>
      <w:r>
        <w:rPr>
          <w:rFonts w:hint="eastAsia" w:ascii="仿宋_GB2312" w:hAnsi="宋体" w:eastAsia="仿宋_GB2312"/>
          <w:color w:val="000000" w:themeColor="text1"/>
          <w:sz w:val="32"/>
          <w:szCs w:val="32"/>
          <w14:textFill>
            <w14:solidFill>
              <w14:schemeClr w14:val="tx1"/>
            </w14:solidFill>
          </w14:textFill>
        </w:rPr>
        <w:t>原则上要</w:t>
      </w:r>
      <w:r>
        <w:rPr>
          <w:rFonts w:ascii="仿宋_GB2312" w:hAnsi="宋体" w:eastAsia="仿宋_GB2312"/>
          <w:color w:val="000000" w:themeColor="text1"/>
          <w:sz w:val="32"/>
          <w:szCs w:val="32"/>
          <w14:textFill>
            <w14:solidFill>
              <w14:schemeClr w14:val="tx1"/>
            </w14:solidFill>
          </w14:textFill>
        </w:rPr>
        <w:t>覆盖报告期各期前五大关联客户。如发行人关联销售占比较大，保荐人可结合发行人关联交易的特点，科学调整核查范围。</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3、销售退回</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保荐人可以通过查阅销售合同、销售部门对销售退回的处理意见等资料，核查是否存在大额异常的销售退回，判断销售退回的真实性，原则上要核查营业收入占比超过</w:t>
      </w:r>
      <w:r>
        <w:rPr>
          <w:rFonts w:ascii="仿宋_GB2312" w:eastAsia="仿宋_GB2312" w:hAnsiTheme="minorEastAsia"/>
          <w:color w:val="000000" w:themeColor="text1"/>
          <w:sz w:val="32"/>
          <w:szCs w:val="32"/>
          <w14:textFill>
            <w14:solidFill>
              <w14:schemeClr w14:val="tx1"/>
            </w14:solidFill>
          </w14:textFill>
        </w:rPr>
        <w:t>1%的</w:t>
      </w:r>
      <w:r>
        <w:rPr>
          <w:rFonts w:hint="eastAsia" w:ascii="仿宋_GB2312" w:eastAsia="仿宋_GB2312" w:hAnsiTheme="minorEastAsia"/>
          <w:color w:val="000000" w:themeColor="text1"/>
          <w:sz w:val="32"/>
          <w:szCs w:val="32"/>
          <w14:textFill>
            <w14:solidFill>
              <w14:schemeClr w14:val="tx1"/>
            </w14:solidFill>
          </w14:textFill>
        </w:rPr>
        <w:t>单笔</w:t>
      </w:r>
      <w:r>
        <w:rPr>
          <w:rFonts w:ascii="仿宋_GB2312" w:eastAsia="仿宋_GB2312" w:hAnsiTheme="minorEastAsia"/>
          <w:color w:val="000000" w:themeColor="text1"/>
          <w:sz w:val="32"/>
          <w:szCs w:val="32"/>
          <w14:textFill>
            <w14:solidFill>
              <w14:schemeClr w14:val="tx1"/>
            </w14:solidFill>
          </w14:textFill>
        </w:rPr>
        <w:t>销售退回。如销售退回占比较高，</w:t>
      </w:r>
      <w:r>
        <w:rPr>
          <w:rFonts w:hint="eastAsia" w:ascii="仿宋_GB2312" w:eastAsia="仿宋_GB2312" w:hAnsiTheme="minorEastAsia"/>
          <w:color w:val="000000" w:themeColor="text1"/>
          <w:sz w:val="32"/>
          <w:szCs w:val="32"/>
          <w14:textFill>
            <w14:solidFill>
              <w14:schemeClr w14:val="tx1"/>
            </w14:solidFill>
          </w14:textFill>
        </w:rPr>
        <w:t>可</w:t>
      </w:r>
      <w:r>
        <w:rPr>
          <w:rFonts w:ascii="仿宋_GB2312" w:eastAsia="仿宋_GB2312" w:hAnsiTheme="minorEastAsia"/>
          <w:color w:val="000000" w:themeColor="text1"/>
          <w:sz w:val="32"/>
          <w:szCs w:val="32"/>
          <w14:textFill>
            <w14:solidFill>
              <w14:schemeClr w14:val="tx1"/>
            </w14:solidFill>
          </w14:textFill>
        </w:rPr>
        <w:t>相应扩大核查范围。</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4、函证</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对客户的函证，保荐人可以结合发行人的重要性水平、客户分布特点、业务类别、往来余额和占比等具体情况，分析函证比例的恰当性，并与会计师讨论函证情况是否可以有效的防止重大错报的发生。</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可以合理信赖会计师的函证工作结果，但应结合客户性质、规模、回款等情况及销售模式等因素，对主要客户通过实地走访、访谈、追查销货合同、销货发票、产品出库单、运输单、银行进账单或补充函证等方法对销售业务发生的真实性和准确性进一步核查。</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如采用</w:t>
      </w:r>
      <w:r>
        <w:rPr>
          <w:rFonts w:hint="eastAsia" w:ascii="仿宋_GB2312" w:eastAsia="仿宋_GB2312" w:hAnsiTheme="minorEastAsia"/>
          <w:color w:val="000000" w:themeColor="text1"/>
          <w:sz w:val="32"/>
          <w:szCs w:val="32"/>
          <w14:textFill>
            <w14:solidFill>
              <w14:schemeClr w14:val="tx1"/>
            </w14:solidFill>
          </w14:textFill>
        </w:rPr>
        <w:t>自行</w:t>
      </w:r>
      <w:r>
        <w:rPr>
          <w:rFonts w:ascii="仿宋_GB2312" w:eastAsia="仿宋_GB2312" w:hAnsiTheme="minorEastAsia"/>
          <w:color w:val="000000" w:themeColor="text1"/>
          <w:sz w:val="32"/>
          <w:szCs w:val="32"/>
          <w14:textFill>
            <w14:solidFill>
              <w14:schemeClr w14:val="tx1"/>
            </w14:solidFill>
          </w14:textFill>
        </w:rPr>
        <w:t>函证的方式，保荐人可以采用以下方式对函证过程实施控制：</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（1）采用邮寄方式函证</w:t>
      </w:r>
      <w:r>
        <w:rPr>
          <w:rFonts w:hint="eastAsia" w:ascii="仿宋_GB2312" w:eastAsia="仿宋_GB2312" w:hAnsiTheme="minorEastAsia"/>
          <w:color w:val="000000" w:themeColor="text1"/>
          <w:sz w:val="32"/>
          <w:szCs w:val="32"/>
          <w14:textFill>
            <w14:solidFill>
              <w14:schemeClr w14:val="tx1"/>
            </w14:solidFill>
          </w14:textFill>
        </w:rPr>
        <w:t>的</w:t>
      </w:r>
      <w:r>
        <w:rPr>
          <w:rFonts w:ascii="仿宋_GB2312" w:eastAsia="仿宋_GB2312" w:hAnsiTheme="minorEastAsia"/>
          <w:color w:val="000000" w:themeColor="text1"/>
          <w:sz w:val="32"/>
          <w:szCs w:val="32"/>
          <w14:textFill>
            <w14:solidFill>
              <w14:schemeClr w14:val="tx1"/>
            </w14:solidFill>
          </w14:textFill>
        </w:rPr>
        <w:t>，核实发行人提供的被询证方的联系方式，核查被询证方地址的真实性，通过核对被询证方企业信用信息公示系统或官网等方式确保发函地址的真实性。后续</w:t>
      </w:r>
      <w:r>
        <w:rPr>
          <w:rFonts w:hint="eastAsia" w:ascii="仿宋_GB2312" w:eastAsia="仿宋_GB2312" w:hAnsiTheme="minorEastAsia"/>
          <w:color w:val="000000" w:themeColor="text1"/>
          <w:sz w:val="32"/>
          <w:szCs w:val="32"/>
          <w14:textFill>
            <w14:solidFill>
              <w14:schemeClr w14:val="tx1"/>
            </w14:solidFill>
          </w14:textFill>
        </w:rPr>
        <w:t>对</w:t>
      </w:r>
      <w:r>
        <w:rPr>
          <w:rFonts w:ascii="仿宋_GB2312" w:eastAsia="仿宋_GB2312" w:hAnsiTheme="minorEastAsia"/>
          <w:color w:val="000000" w:themeColor="text1"/>
          <w:sz w:val="32"/>
          <w:szCs w:val="32"/>
          <w14:textFill>
            <w14:solidFill>
              <w14:schemeClr w14:val="tx1"/>
            </w14:solidFill>
          </w14:textFill>
        </w:rPr>
        <w:t>询证函予以跟进，注意保留发函快递单原件，并确保回函直接寄回保荐人，必要时再次向被询证者寄发询证函。</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（2）采用现场函证的形式，确认被询证方经办人员的身份，确认其有合适的资格、授权进行函证处理；并在处理函证的全程保持高度关注，确保直接从被询证方经办人员处获得回函。</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3）采用电子函证的形式，注意核实被询证方回复人身份，采用通过官网核实相关邮箱的后缀、通过邮件显示的电话信息访谈回复人是否发送了回函并做好记录等方式，必要时可考虑聘请信息系统专家协助确认电子回函的有效性。</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核对回函，保荐人</w:t>
      </w:r>
      <w:r>
        <w:rPr>
          <w:rFonts w:hint="eastAsia" w:ascii="仿宋_GB2312" w:eastAsia="仿宋_GB2312" w:hAnsiTheme="minorEastAsia"/>
          <w:color w:val="000000" w:themeColor="text1"/>
          <w:sz w:val="32"/>
          <w:szCs w:val="32"/>
          <w14:textFill>
            <w14:solidFill>
              <w14:schemeClr w14:val="tx1"/>
            </w14:solidFill>
          </w14:textFill>
        </w:rPr>
        <w:t>可以</w:t>
      </w:r>
      <w:r>
        <w:rPr>
          <w:rFonts w:ascii="仿宋_GB2312" w:eastAsia="仿宋_GB2312" w:hAnsiTheme="minorEastAsia"/>
          <w:color w:val="000000" w:themeColor="text1"/>
          <w:sz w:val="32"/>
          <w:szCs w:val="32"/>
          <w14:textFill>
            <w14:solidFill>
              <w14:schemeClr w14:val="tx1"/>
            </w14:solidFill>
          </w14:textFill>
        </w:rPr>
        <w:t>注意以下事项：</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（1）与发函数据核对，验证回函是否与发出函证的数据一致；</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（2）确认回函地址，是否从被函证方直接寄出或由被函证方的邮箱直接发出，与发函记录的地址、收件人是否一致；</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（3）询证函回函信息是否清晰，回函盖章是否清楚；</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（4）就回函不符的情况，进一步了解不符的原因和合理性，并做好记录；</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（5）对未回函的情况，执行替代程序，核实相关销售与采购业务的真实、准确、完整；</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（6）将收到的回函形成记录，并汇总统计函证结果。</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ascii="仿宋_GB2312" w:eastAsia="仿宋_GB2312" w:hAnsiTheme="minorEastAsia"/>
          <w:color w:val="000000" w:themeColor="text1"/>
          <w:sz w:val="32"/>
          <w:szCs w:val="32"/>
          <w14:textFill>
            <w14:solidFill>
              <w14:schemeClr w14:val="tx1"/>
            </w14:solidFill>
          </w14:textFill>
        </w:rPr>
        <w:t>5、访谈</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获取发行人报告期内客户名单，结合主要客户的性质、规模等因素，分析是否需要对主要客户采取访谈的核查程序，对销售业务发生的真实性和准确性进一步核查。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如需采用访谈的核查程序，应根据定量或定性的标准，独立</w:t>
      </w:r>
      <w:r>
        <w:rPr>
          <w:rFonts w:hint="eastAsia" w:ascii="仿宋_GB2312" w:hAnsi="宋体" w:eastAsia="仿宋_GB2312"/>
          <w:color w:val="000000" w:themeColor="text1"/>
          <w:sz w:val="32"/>
          <w:szCs w:val="32"/>
          <w14:textFill>
            <w14:solidFill>
              <w14:schemeClr w14:val="tx1"/>
            </w14:solidFill>
          </w14:textFill>
        </w:rPr>
        <w:t>地</w:t>
      </w:r>
      <w:r>
        <w:rPr>
          <w:rFonts w:ascii="仿宋_GB2312" w:hAnsi="宋体" w:eastAsia="仿宋_GB2312"/>
          <w:color w:val="000000" w:themeColor="text1"/>
          <w:sz w:val="32"/>
          <w:szCs w:val="32"/>
          <w14:textFill>
            <w14:solidFill>
              <w14:schemeClr w14:val="tx1"/>
            </w14:solidFill>
          </w14:textFill>
        </w:rPr>
        <w:t>从客户的名单中选择要访谈的对象，编制对客户的走访计划，确定走访的对象和范围，选择发行人最近三年主要的或具有特殊、异常特征的客户进行访谈。客户的选取可采取如下原则：</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（1）报告期</w:t>
      </w:r>
      <w:r>
        <w:rPr>
          <w:rFonts w:hint="eastAsia" w:ascii="仿宋_GB2312" w:hAnsi="宋体" w:eastAsia="仿宋_GB2312"/>
          <w:color w:val="000000" w:themeColor="text1"/>
          <w:sz w:val="32"/>
          <w:szCs w:val="32"/>
          <w14:textFill>
            <w14:solidFill>
              <w14:schemeClr w14:val="tx1"/>
            </w14:solidFill>
          </w14:textFill>
        </w:rPr>
        <w:t>各期</w:t>
      </w:r>
      <w:r>
        <w:rPr>
          <w:rFonts w:ascii="仿宋_GB2312" w:hAnsi="宋体" w:eastAsia="仿宋_GB2312"/>
          <w:color w:val="000000" w:themeColor="text1"/>
          <w:sz w:val="32"/>
          <w:szCs w:val="32"/>
          <w14:textFill>
            <w14:solidFill>
              <w14:schemeClr w14:val="tx1"/>
            </w14:solidFill>
          </w14:textFill>
        </w:rPr>
        <w:t>前十大客户</w:t>
      </w:r>
      <w:r>
        <w:rPr>
          <w:rFonts w:hint="eastAsia" w:ascii="仿宋_GB2312" w:hAnsi="宋体" w:eastAsia="仿宋_GB2312"/>
          <w:color w:val="000000" w:themeColor="text1"/>
          <w:sz w:val="32"/>
          <w:szCs w:val="32"/>
          <w14:textFill>
            <w14:solidFill>
              <w14:schemeClr w14:val="tx1"/>
            </w14:solidFill>
          </w14:textFill>
        </w:rPr>
        <w:t>或根据发行人具体情况确定的主要客户</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（2）重要关联方客户；</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（3）以经销商模式为主的，可选取报告期各期前十名经销商</w:t>
      </w:r>
      <w:r>
        <w:rPr>
          <w:rFonts w:hint="eastAsia" w:ascii="仿宋_GB2312" w:hAnsi="宋体" w:eastAsia="仿宋_GB2312"/>
          <w:color w:val="000000" w:themeColor="text1"/>
          <w:sz w:val="32"/>
          <w:szCs w:val="32"/>
          <w14:textFill>
            <w14:solidFill>
              <w14:schemeClr w14:val="tx1"/>
            </w14:solidFill>
          </w14:textFill>
        </w:rPr>
        <w:t>或根据发行人具体情况确定的主要经销商</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（4）报告期内交易金额变化较大的客户；</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（5）销售价格与其他客户相比存在明显异常的；</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（6）收款模式与其他客户</w:t>
      </w:r>
      <w:r>
        <w:rPr>
          <w:rFonts w:hint="eastAsia" w:ascii="仿宋_GB2312" w:hAnsi="宋体" w:eastAsia="仿宋_GB2312"/>
          <w:color w:val="000000" w:themeColor="text1"/>
          <w:sz w:val="32"/>
          <w:szCs w:val="32"/>
          <w14:textFill>
            <w14:solidFill>
              <w14:schemeClr w14:val="tx1"/>
            </w14:solidFill>
          </w14:textFill>
        </w:rPr>
        <w:t>相比</w:t>
      </w:r>
      <w:r>
        <w:rPr>
          <w:rFonts w:ascii="仿宋_GB2312" w:hAnsi="宋体" w:eastAsia="仿宋_GB2312"/>
          <w:color w:val="000000" w:themeColor="text1"/>
          <w:sz w:val="32"/>
          <w:szCs w:val="32"/>
          <w14:textFill>
            <w14:solidFill>
              <w14:schemeClr w14:val="tx1"/>
            </w14:solidFill>
          </w14:textFill>
        </w:rPr>
        <w:t>存在明显差异的；</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（7）通过调阅工商资料和公开查询相关信息，客户的经营范围与发行人的产品不相关，购买相关产品用途或销售相关产品的合理性不明的</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获取受访单位的相关信息及详细联系方式，包括工商登记信息、办公地址、与发行人最近三年的交易量与交易额、与发行人是否存在关联关系、受访对象的姓名及在受访单位的职务等。根据实际情况，可选取实地走访或电话、视频访谈等多种访谈形式，并可会同发行人会计师、律师一并参与访谈。</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一些特殊原因无法安排走访的情形，如客户不可抗力、涉密客户、客户地位强势等，应结合实际情况，分析未能走访的原因和合理性，并可以采用函证、视频访谈、抽样、网络查询等恰当的方式来执行替代性程序，进一步核查相关销售业务发生的真实性和准确性。实施替代性程序时，考虑替代程序的有效性和独立性，如视频访谈中需要对访谈人的身份进行验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在对受访对象进行访谈时，注意以下事项：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（1）直接与受访对象在受访单位进行访谈，尽量减少让发行人参与其中；</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在访谈开始前，应确认受访对象的真实身份，并要求受访对象提供名片、身份证或在受访单位的工作证等身份证明进行进一步的对照检查；结合被访谈人的职位、职责等，判断其是否具备确认访谈内容的权责；</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（3）根据事先编制好的访谈提纲对受访对象就业务往来、商业条款、交易数据等情况进行逐项提问，就提出的问题取得充分和令人满意的回答，并就不完整</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未</w:t>
      </w:r>
      <w:r>
        <w:rPr>
          <w:rFonts w:hint="eastAsia" w:ascii="仿宋_GB2312" w:hAnsi="宋体" w:eastAsia="仿宋_GB2312"/>
          <w:color w:val="000000" w:themeColor="text1"/>
          <w:sz w:val="32"/>
          <w:szCs w:val="32"/>
          <w14:textFill>
            <w14:solidFill>
              <w14:schemeClr w14:val="tx1"/>
            </w14:solidFill>
          </w14:textFill>
        </w:rPr>
        <w:t>达预期</w:t>
      </w:r>
      <w:r>
        <w:rPr>
          <w:rFonts w:ascii="仿宋_GB2312" w:hAnsi="宋体" w:eastAsia="仿宋_GB2312"/>
          <w:color w:val="000000" w:themeColor="text1"/>
          <w:sz w:val="32"/>
          <w:szCs w:val="32"/>
          <w14:textFill>
            <w14:solidFill>
              <w14:schemeClr w14:val="tx1"/>
            </w14:solidFill>
          </w14:textFill>
        </w:rPr>
        <w:t>的回应或尚待处理的事项作出跟进；</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（4）在访谈过程中获取受访单位提供的营业执照复印件、与发行人相关的业务合同等相关资料，进一步核查发行人销售业务的真实性和准确性；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（5）识别在访谈过程中发现的异常情况（例如并非在受访单位的注册或办公地址进行访谈、受访单位及受访人员不愿合作等），并确保异常情况均获得充分解释及解决；</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对于对某一客户存在重大依赖的情况（来自单一大客户主营业务收入或毛利贡献占比超过50%以上），在访谈过程中应关注该客户是否为关联方，与发行人的合作关系是否具有一定的历史基础，发行人的业务获取方式是否影响独立性，发行人与客户是否已建立长期稳定的合作关系，相关的业务是否具有稳定性以及可持续性，相关交易的定价原则及公允性，该客户在其行业中的地位及经营状况、是否存在重大不确定性风险</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（7）询问受访单位及受访单位的主要股东、实际控制人、董事、监事、高级管理人员（包括其</w:t>
      </w:r>
      <w:r>
        <w:rPr>
          <w:rFonts w:hint="eastAsia" w:ascii="仿宋_GB2312" w:hAnsi="宋体" w:eastAsia="仿宋_GB2312"/>
          <w:color w:val="000000" w:themeColor="text1"/>
          <w:sz w:val="32"/>
          <w:szCs w:val="32"/>
          <w14:textFill>
            <w14:solidFill>
              <w14:schemeClr w14:val="tx1"/>
            </w14:solidFill>
          </w14:textFill>
        </w:rPr>
        <w:t>关系密切的家庭成员</w:t>
      </w:r>
      <w:r>
        <w:rPr>
          <w:rFonts w:ascii="仿宋_GB2312" w:hAnsi="宋体" w:eastAsia="仿宋_GB2312"/>
          <w:color w:val="000000" w:themeColor="text1"/>
          <w:sz w:val="32"/>
          <w:szCs w:val="32"/>
          <w14:textFill>
            <w14:solidFill>
              <w14:schemeClr w14:val="tx1"/>
            </w14:solidFill>
          </w14:textFill>
        </w:rPr>
        <w:t>）与发行人及其主要股东、实际控制人、董事、监事、高级管理人员（包括其</w:t>
      </w:r>
      <w:r>
        <w:rPr>
          <w:rFonts w:hint="eastAsia" w:ascii="仿宋_GB2312" w:hAnsi="宋体" w:eastAsia="仿宋_GB2312"/>
          <w:color w:val="000000" w:themeColor="text1"/>
          <w:sz w:val="32"/>
          <w:szCs w:val="32"/>
          <w14:textFill>
            <w14:solidFill>
              <w14:schemeClr w14:val="tx1"/>
            </w14:solidFill>
          </w14:textFill>
        </w:rPr>
        <w:t>关系密切的家庭成员</w:t>
      </w:r>
      <w:r>
        <w:rPr>
          <w:rFonts w:ascii="仿宋_GB2312" w:hAnsi="宋体" w:eastAsia="仿宋_GB2312"/>
          <w:color w:val="000000" w:themeColor="text1"/>
          <w:sz w:val="32"/>
          <w:szCs w:val="32"/>
          <w14:textFill>
            <w14:solidFill>
              <w14:schemeClr w14:val="tx1"/>
            </w14:solidFill>
          </w14:textFill>
        </w:rPr>
        <w:t>）是否存在关联关系、亲属关系或者其他除正常商业往来的利益关系；</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（8）访谈结束后，就访谈记录与受访对象进行逐项确认，在受访单位标志处访谈人员与被访谈人员合影（电话、视频访谈可采用录音或录屏等形式），并采用签字</w:t>
      </w:r>
      <w:r>
        <w:rPr>
          <w:rFonts w:hint="eastAsia" w:ascii="仿宋_GB2312" w:hAnsi="宋体" w:eastAsia="仿宋_GB2312"/>
          <w:color w:val="000000" w:themeColor="text1"/>
          <w:sz w:val="32"/>
          <w:szCs w:val="32"/>
          <w14:textFill>
            <w14:solidFill>
              <w14:schemeClr w14:val="tx1"/>
            </w14:solidFill>
          </w14:textFill>
        </w:rPr>
        <w:t>或</w:t>
      </w:r>
      <w:r>
        <w:rPr>
          <w:rFonts w:ascii="仿宋_GB2312" w:hAnsi="宋体" w:eastAsia="仿宋_GB2312"/>
          <w:color w:val="000000" w:themeColor="text1"/>
          <w:sz w:val="32"/>
          <w:szCs w:val="32"/>
          <w14:textFill>
            <w14:solidFill>
              <w14:schemeClr w14:val="tx1"/>
            </w14:solidFill>
          </w14:textFill>
        </w:rPr>
        <w:t>盖章等形式与受访对象</w:t>
      </w:r>
      <w:r>
        <w:rPr>
          <w:rFonts w:hint="eastAsia" w:ascii="仿宋_GB2312" w:hAnsi="宋体" w:eastAsia="仿宋_GB2312"/>
          <w:color w:val="000000" w:themeColor="text1"/>
          <w:sz w:val="32"/>
          <w:szCs w:val="32"/>
          <w14:textFill>
            <w14:solidFill>
              <w14:schemeClr w14:val="tx1"/>
            </w14:solidFill>
          </w14:textFill>
        </w:rPr>
        <w:t>或</w:t>
      </w:r>
      <w:r>
        <w:rPr>
          <w:rFonts w:ascii="仿宋_GB2312" w:hAnsi="宋体" w:eastAsia="仿宋_GB2312"/>
          <w:color w:val="000000" w:themeColor="text1"/>
          <w:sz w:val="32"/>
          <w:szCs w:val="32"/>
          <w14:textFill>
            <w14:solidFill>
              <w14:schemeClr w14:val="tx1"/>
            </w14:solidFill>
          </w14:textFill>
        </w:rPr>
        <w:t>受访单位进行书面确认，确保访谈记录在所有重大方面均合理</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准确、完整及可靠；</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（9）在实地走访的过程中，可通过参观受访单位的办公场所、生产经营场所</w:t>
      </w:r>
      <w:r>
        <w:rPr>
          <w:rFonts w:hint="eastAsia" w:ascii="仿宋_GB2312" w:hAnsi="宋体" w:eastAsia="仿宋_GB2312"/>
          <w:color w:val="000000" w:themeColor="text1"/>
          <w:sz w:val="32"/>
          <w:szCs w:val="32"/>
          <w14:textFill>
            <w14:solidFill>
              <w14:schemeClr w14:val="tx1"/>
            </w14:solidFill>
          </w14:textFill>
        </w:rPr>
        <w:t>、仓库等</w:t>
      </w:r>
      <w:r>
        <w:rPr>
          <w:rFonts w:ascii="仿宋_GB2312" w:hAnsi="宋体" w:eastAsia="仿宋_GB2312"/>
          <w:color w:val="000000" w:themeColor="text1"/>
          <w:sz w:val="32"/>
          <w:szCs w:val="32"/>
          <w14:textFill>
            <w14:solidFill>
              <w14:schemeClr w14:val="tx1"/>
            </w14:solidFill>
          </w14:textFill>
        </w:rPr>
        <w:t>进一步核查发行人销售业务的真实性。</w:t>
      </w:r>
    </w:p>
    <w:p>
      <w:pPr>
        <w:spacing w:line="360" w:lineRule="auto"/>
        <w:ind w:firstLine="640" w:firstLineChars="200"/>
        <w:outlineLvl w:val="2"/>
        <w:rPr>
          <w:rFonts w:ascii="仿宋_GB2312" w:hAnsi="宋体" w:eastAsia="仿宋_GB2312"/>
          <w:color w:val="000000"/>
          <w:sz w:val="32"/>
          <w:szCs w:val="32"/>
        </w:rPr>
      </w:pPr>
      <w:bookmarkStart w:id="71" w:name="_Toc105940625"/>
      <w:bookmarkStart w:id="72" w:name="_Toc76472359"/>
      <w:r>
        <w:rPr>
          <w:rFonts w:ascii="仿宋_GB2312" w:hAnsi="宋体" w:eastAsia="仿宋_GB2312"/>
          <w:color w:val="000000"/>
          <w:sz w:val="32"/>
          <w:szCs w:val="32"/>
        </w:rPr>
        <w:t>4.5.12  采购情况</w:t>
      </w:r>
      <w:bookmarkEnd w:id="71"/>
      <w:bookmarkEnd w:id="72"/>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原材料、重要辅助材料、所需能源动力</w:t>
      </w:r>
      <w:r>
        <w:rPr>
          <w:rFonts w:ascii="仿宋_GB2312" w:hAnsi="宋体" w:eastAsia="仿宋_GB2312"/>
          <w:color w:val="000000" w:themeColor="text1"/>
          <w:sz w:val="32"/>
          <w:szCs w:val="32"/>
          <w14:textFill>
            <w14:solidFill>
              <w14:schemeClr w14:val="tx1"/>
            </w14:solidFill>
          </w14:textFill>
        </w:rPr>
        <w:t>等情况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可以根据发行人的业务特点制定核查范围，通过与公司采购部门及主要供应商沟通、查阅相关研究及统计资料等方法，原则上要核查发行人主要原材料、重要辅助材料、所需能源动力的市场供求情况。若发行人的原材料、辅助材料、所需能源动力集中度不高或采购金额大幅波动，核查范围可扩大到其他次要原材料。</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原则上要核查发行人的采购模式，分析特殊采购模式（如有）商业逻辑的合理性，核查发行人产品成本计算单，定量分析发行人主要原材料及所需能源动力的价格变动及合理性、可替代性、供应渠道变化等情况，及前述因素对发行人生产成本的影响，调查其采购是否受到资源或其他因素的限制。若发行人的原材料、所需能源动力集中度不高或采购金额大幅波动，核查范围可扩大到其他次要原材料。</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2、主要供应商核查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1）保荐人</w:t>
      </w:r>
      <w:r>
        <w:rPr>
          <w:rFonts w:hint="eastAsia" w:ascii="仿宋_GB2312" w:hAnsi="宋体" w:eastAsia="仿宋_GB2312"/>
          <w:color w:val="000000" w:themeColor="text1"/>
          <w:sz w:val="32"/>
          <w:szCs w:val="32"/>
          <w14:textFill>
            <w14:solidFill>
              <w14:schemeClr w14:val="tx1"/>
            </w14:solidFill>
          </w14:textFill>
        </w:rPr>
        <w:t>可以根据发行人的经营特点、供应商集中度、采购地域等综合因素来制</w:t>
      </w:r>
      <w:r>
        <w:rPr>
          <w:rFonts w:hint="eastAsia" w:ascii="仿宋_GB2312" w:hAnsi="宋体" w:eastAsia="仿宋_GB2312"/>
          <w:color w:val="000000" w:themeColor="text1"/>
          <w:sz w:val="32"/>
          <w:szCs w:val="32"/>
          <w:lang w:eastAsia="zh-CN"/>
          <w14:textFill>
            <w14:solidFill>
              <w14:schemeClr w14:val="tx1"/>
            </w14:solidFill>
          </w14:textFill>
        </w:rPr>
        <w:t>定</w:t>
      </w:r>
      <w:r>
        <w:rPr>
          <w:rFonts w:hint="eastAsia" w:ascii="仿宋_GB2312" w:hAnsi="宋体" w:eastAsia="仿宋_GB2312"/>
          <w:color w:val="000000" w:themeColor="text1"/>
          <w:sz w:val="32"/>
          <w:szCs w:val="32"/>
          <w14:textFill>
            <w14:solidFill>
              <w14:schemeClr w14:val="tx1"/>
            </w14:solidFill>
          </w14:textFill>
        </w:rPr>
        <w:t>核查范围，原则上要核查报告期各期的前十大供应商或根据发行人具体情况确定的主要供应商。若发行人前十大的供应商占比较低，可扩大核查范围，并保证样本选取的全面性、代表性，覆盖不同类型及不同地域的供应商，其中存在关联关系的重要供应商应进行走访。</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2）保荐人</w:t>
      </w:r>
      <w:r>
        <w:rPr>
          <w:rFonts w:hint="eastAsia" w:ascii="仿宋_GB2312" w:hAnsi="宋体" w:eastAsia="仿宋_GB2312"/>
          <w:color w:val="000000" w:themeColor="text1"/>
          <w:sz w:val="32"/>
          <w:szCs w:val="32"/>
          <w14:textFill>
            <w14:solidFill>
              <w14:schemeClr w14:val="tx1"/>
            </w14:solidFill>
          </w14:textFill>
        </w:rPr>
        <w:t>可以通过重点查阅采购申请或招投标审批单、采购合同或采购</w:t>
      </w:r>
      <w:r>
        <w:rPr>
          <w:rFonts w:ascii="仿宋_GB2312" w:hAnsi="宋体" w:eastAsia="仿宋_GB2312"/>
          <w:color w:val="000000" w:themeColor="text1"/>
          <w:sz w:val="32"/>
          <w:szCs w:val="32"/>
          <w14:textFill>
            <w14:solidFill>
              <w14:schemeClr w14:val="tx1"/>
            </w14:solidFill>
          </w14:textFill>
        </w:rPr>
        <w:t>订单</w:t>
      </w:r>
      <w:r>
        <w:rPr>
          <w:rFonts w:hint="eastAsia" w:ascii="仿宋_GB2312" w:hAnsi="宋体" w:eastAsia="仿宋_GB2312"/>
          <w:color w:val="000000" w:themeColor="text1"/>
          <w:sz w:val="32"/>
          <w:szCs w:val="32"/>
          <w14:textFill>
            <w14:solidFill>
              <w14:schemeClr w14:val="tx1"/>
            </w14:solidFill>
          </w14:textFill>
        </w:rPr>
        <w:t>、记账凭证，及结算单、产品验收单（如有）、</w:t>
      </w:r>
      <w:r>
        <w:rPr>
          <w:rFonts w:hint="eastAsia" w:ascii="仿宋_GB2312" w:eastAsia="仿宋_GB2312" w:cs="仿宋_GB2312" w:hAnsiTheme="minorHAnsi"/>
          <w:kern w:val="0"/>
          <w:sz w:val="32"/>
          <w:szCs w:val="32"/>
        </w:rPr>
        <w:t>产品入库单、</w:t>
      </w:r>
      <w:r>
        <w:rPr>
          <w:rFonts w:hint="eastAsia" w:ascii="仿宋_GB2312" w:hAnsi="宋体" w:eastAsia="仿宋_GB2312"/>
          <w:color w:val="000000" w:themeColor="text1"/>
          <w:sz w:val="32"/>
          <w:szCs w:val="32"/>
          <w14:textFill>
            <w14:solidFill>
              <w14:schemeClr w14:val="tx1"/>
            </w14:solidFill>
          </w14:textFill>
        </w:rPr>
        <w:t>运输单、采购发票、银行回单等内外部凭证，原则上要覆盖报告期各期的前十大供应商或根据发行人具体情况确定的主要供应商，核查采购交易是否存在异常。若发行人前十大的供应商占比较低，可扩大抽样样本，设定科学的抽样原则。</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3）对于报告期各期主要供应商发生较大变化的、供应商新增或减少变动异常的</w:t>
      </w:r>
      <w:r>
        <w:rPr>
          <w:rFonts w:hint="eastAsia" w:ascii="仿宋_GB2312" w:hAnsi="宋体" w:eastAsia="仿宋_GB2312"/>
          <w:color w:val="000000" w:themeColor="text1"/>
          <w:sz w:val="32"/>
          <w:szCs w:val="32"/>
          <w14:textFill>
            <w14:solidFill>
              <w14:schemeClr w14:val="tx1"/>
            </w14:solidFill>
          </w14:textFill>
        </w:rPr>
        <w:t>、发行人</w:t>
      </w:r>
      <w:r>
        <w:rPr>
          <w:rFonts w:hint="eastAsia" w:ascii="仿宋_GB2312" w:hAnsi="宋体" w:eastAsia="仿宋_GB2312"/>
          <w:color w:val="000000"/>
          <w:sz w:val="32"/>
          <w:szCs w:val="32"/>
        </w:rPr>
        <w:t>未直接向供应商支付采购款的，</w:t>
      </w:r>
      <w:r>
        <w:rPr>
          <w:rFonts w:ascii="仿宋_GB2312" w:hAnsi="宋体" w:eastAsia="仿宋_GB2312"/>
          <w:color w:val="000000" w:themeColor="text1"/>
          <w:sz w:val="32"/>
          <w:szCs w:val="32"/>
          <w14:textFill>
            <w14:solidFill>
              <w14:schemeClr w14:val="tx1"/>
            </w14:solidFill>
          </w14:textFill>
        </w:rPr>
        <w:t>以及对同</w:t>
      </w:r>
      <w:r>
        <w:rPr>
          <w:rFonts w:hint="eastAsia" w:ascii="仿宋_GB2312" w:hAnsi="宋体" w:eastAsia="仿宋_GB2312"/>
          <w:color w:val="000000" w:themeColor="text1"/>
          <w:sz w:val="32"/>
          <w:szCs w:val="32"/>
          <w14:textFill>
            <w14:solidFill>
              <w14:schemeClr w14:val="tx1"/>
            </w14:solidFill>
          </w14:textFill>
        </w:rPr>
        <w:t>一供应商采购金额存在重大变化的，关注变化的原因及合理性，执行访谈、函证或抽样测试等恰当的尽职调查程序。</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4）对其它供应商异常的情况，如供应商的地域分布，</w:t>
      </w:r>
      <w:r>
        <w:rPr>
          <w:rFonts w:hint="eastAsia" w:ascii="仿宋_GB2312" w:hAnsi="宋体" w:eastAsia="仿宋_GB2312"/>
          <w:color w:val="000000" w:themeColor="text1"/>
          <w:sz w:val="32"/>
          <w:szCs w:val="32"/>
          <w14:textFill>
            <w14:solidFill>
              <w14:schemeClr w14:val="tx1"/>
            </w14:solidFill>
          </w14:textFill>
        </w:rPr>
        <w:t>报告期内</w:t>
      </w:r>
      <w:r>
        <w:rPr>
          <w:rFonts w:ascii="仿宋_GB2312" w:hAnsi="宋体" w:eastAsia="仿宋_GB2312"/>
          <w:color w:val="000000" w:themeColor="text1"/>
          <w:sz w:val="32"/>
          <w:szCs w:val="32"/>
          <w14:textFill>
            <w14:solidFill>
              <w14:schemeClr w14:val="tx1"/>
            </w14:solidFill>
          </w14:textFill>
        </w:rPr>
        <w:t>新增</w:t>
      </w:r>
      <w:r>
        <w:rPr>
          <w:rFonts w:hint="eastAsia" w:ascii="仿宋_GB2312" w:hAnsi="宋体" w:eastAsia="仿宋_GB2312"/>
          <w:color w:val="000000" w:themeColor="text1"/>
          <w:sz w:val="32"/>
          <w:szCs w:val="32"/>
          <w14:textFill>
            <w14:solidFill>
              <w14:schemeClr w14:val="tx1"/>
            </w14:solidFill>
          </w14:textFill>
        </w:rPr>
        <w:t>/注销</w:t>
      </w:r>
      <w:r>
        <w:rPr>
          <w:rFonts w:ascii="仿宋_GB2312" w:hAnsi="宋体" w:eastAsia="仿宋_GB2312"/>
          <w:color w:val="000000" w:themeColor="text1"/>
          <w:sz w:val="32"/>
          <w:szCs w:val="32"/>
          <w14:textFill>
            <w14:solidFill>
              <w14:schemeClr w14:val="tx1"/>
            </w14:solidFill>
          </w14:textFill>
        </w:rPr>
        <w:t>主要供应商、</w:t>
      </w:r>
      <w:r>
        <w:rPr>
          <w:rFonts w:hint="eastAsia" w:ascii="仿宋_GB2312" w:hAnsi="宋体" w:eastAsia="仿宋_GB2312"/>
          <w:color w:val="000000" w:themeColor="text1"/>
          <w:sz w:val="32"/>
          <w:szCs w:val="32"/>
          <w14:textFill>
            <w14:solidFill>
              <w14:schemeClr w14:val="tx1"/>
            </w14:solidFill>
          </w14:textFill>
        </w:rPr>
        <w:t>非法人实体供应商、主要供应商为发行人前员工、业务高度依赖发行人的供应商</w:t>
      </w:r>
      <w:r>
        <w:rPr>
          <w:rFonts w:ascii="仿宋_GB2312" w:hAnsi="宋体" w:eastAsia="仿宋_GB2312"/>
          <w:color w:val="000000" w:themeColor="text1"/>
          <w:sz w:val="32"/>
          <w:szCs w:val="32"/>
          <w14:textFill>
            <w14:solidFill>
              <w14:schemeClr w14:val="tx1"/>
            </w14:solidFill>
          </w14:textFill>
        </w:rPr>
        <w:t>、名称相似、注册地址相近、工商登记电话、邮箱相同、成立时间较短、</w:t>
      </w:r>
      <w:r>
        <w:rPr>
          <w:rFonts w:hint="eastAsia" w:ascii="仿宋_GB2312" w:hAnsi="宋体" w:eastAsia="仿宋_GB2312"/>
          <w:color w:val="000000"/>
          <w:sz w:val="32"/>
          <w:szCs w:val="32"/>
        </w:rPr>
        <w:t>主要供应商是否存在注册资本与交易规模不匹配</w:t>
      </w:r>
      <w:r>
        <w:rPr>
          <w:rFonts w:ascii="仿宋_GB2312" w:hAnsi="宋体" w:eastAsia="仿宋_GB2312"/>
          <w:color w:val="000000" w:themeColor="text1"/>
          <w:sz w:val="32"/>
          <w:szCs w:val="32"/>
          <w14:textFill>
            <w14:solidFill>
              <w14:schemeClr w14:val="tx1"/>
            </w14:solidFill>
          </w14:textFill>
        </w:rPr>
        <w:t>、供应商不具备相关资质文件或者资质文件过期（如所在行业有特殊要求）</w:t>
      </w:r>
      <w:r>
        <w:rPr>
          <w:rFonts w:hint="eastAsia" w:ascii="仿宋_GB2312" w:hAnsi="宋体" w:eastAsia="仿宋_GB2312"/>
          <w:color w:val="000000" w:themeColor="text1"/>
          <w:sz w:val="32"/>
          <w:szCs w:val="32"/>
          <w14:textFill>
            <w14:solidFill>
              <w14:schemeClr w14:val="tx1"/>
            </w14:solidFill>
          </w14:textFill>
        </w:rPr>
        <w:t>以及</w:t>
      </w:r>
      <w:r>
        <w:rPr>
          <w:rFonts w:hint="eastAsia" w:ascii="仿宋_GB2312" w:hAnsi="宋体" w:eastAsia="仿宋_GB2312"/>
          <w:color w:val="000000"/>
          <w:sz w:val="32"/>
          <w:szCs w:val="32"/>
        </w:rPr>
        <w:t>报告期内采购内容、规模、时点是否明显不符合发行人生产销售需求、生产周期、投入产出规律、原材料保质期及产品技术更新迭代周期的情况及合理性</w:t>
      </w:r>
      <w:r>
        <w:rPr>
          <w:rFonts w:ascii="仿宋_GB2312" w:hAnsi="宋体" w:eastAsia="仿宋_GB2312"/>
          <w:color w:val="000000" w:themeColor="text1"/>
          <w:sz w:val="32"/>
          <w:szCs w:val="32"/>
          <w14:textFill>
            <w14:solidFill>
              <w14:schemeClr w14:val="tx1"/>
            </w14:solidFill>
          </w14:textFill>
        </w:rPr>
        <w:t>等特殊情形，保荐</w:t>
      </w:r>
      <w:r>
        <w:rPr>
          <w:rFonts w:hint="eastAsia" w:ascii="仿宋_GB2312" w:hAnsi="宋体" w:eastAsia="仿宋_GB2312"/>
          <w:color w:val="000000" w:themeColor="text1"/>
          <w:sz w:val="32"/>
          <w:szCs w:val="32"/>
          <w14:textFill>
            <w14:solidFill>
              <w14:schemeClr w14:val="tx1"/>
            </w14:solidFill>
          </w14:textFill>
        </w:rPr>
        <w:t>人要充分关注合理性，关注上述主体与发行人及关联方是否存在潜在关联关系和异常资金流转，确定恰当的尽调方式核查采购的真实性。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5）对于劳务外包，保荐</w:t>
      </w:r>
      <w:r>
        <w:rPr>
          <w:rFonts w:hint="eastAsia" w:ascii="仿宋_GB2312" w:hAnsi="宋体" w:eastAsia="仿宋_GB2312"/>
          <w:color w:val="000000" w:themeColor="text1"/>
          <w:sz w:val="32"/>
          <w:szCs w:val="32"/>
          <w14:textFill>
            <w14:solidFill>
              <w14:schemeClr w14:val="tx1"/>
            </w14:solidFill>
          </w14:textFill>
        </w:rPr>
        <w:t>人要重点分析劳务外包的合理性及必要性，通过查阅劳务外包合同、结算单据等，关注主要服务内容、服务定价、用工风险安排以及费用结算等条款，并核查劳务外包公司是否与发行人存在关联关系，核查劳务外包合法合规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3、关联采购</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对于重大关联采购，</w:t>
      </w:r>
      <w:r>
        <w:rPr>
          <w:rFonts w:hint="eastAsia" w:ascii="仿宋_GB2312" w:hAnsi="宋体" w:eastAsia="仿宋_GB2312"/>
          <w:color w:val="000000" w:themeColor="text1"/>
          <w:sz w:val="32"/>
          <w:szCs w:val="32"/>
          <w14:textFill>
            <w14:solidFill>
              <w14:schemeClr w14:val="tx1"/>
            </w14:solidFill>
          </w14:textFill>
        </w:rPr>
        <w:t>保荐人</w:t>
      </w:r>
      <w:r>
        <w:rPr>
          <w:rFonts w:ascii="仿宋_GB2312" w:hAnsi="宋体" w:eastAsia="仿宋_GB2312"/>
          <w:color w:val="000000" w:themeColor="text1"/>
          <w:sz w:val="32"/>
          <w:szCs w:val="32"/>
          <w14:textFill>
            <w14:solidFill>
              <w14:schemeClr w14:val="tx1"/>
            </w14:solidFill>
          </w14:textFill>
        </w:rPr>
        <w:t>要</w:t>
      </w:r>
      <w:r>
        <w:rPr>
          <w:rFonts w:hint="eastAsia" w:ascii="仿宋_GB2312" w:hAnsi="宋体" w:eastAsia="仿宋_GB2312"/>
          <w:color w:val="000000" w:themeColor="text1"/>
          <w:sz w:val="32"/>
          <w:szCs w:val="32"/>
          <w14:textFill>
            <w14:solidFill>
              <w14:schemeClr w14:val="tx1"/>
            </w14:solidFill>
          </w14:textFill>
        </w:rPr>
        <w:t>重点关注</w:t>
      </w:r>
      <w:r>
        <w:rPr>
          <w:rFonts w:ascii="仿宋_GB2312" w:hAnsi="宋体" w:eastAsia="仿宋_GB2312"/>
          <w:color w:val="000000" w:themeColor="text1"/>
          <w:sz w:val="32"/>
          <w:szCs w:val="32"/>
          <w14:textFill>
            <w14:solidFill>
              <w14:schemeClr w14:val="tx1"/>
            </w14:solidFill>
          </w14:textFill>
        </w:rPr>
        <w:t>重大关联采购</w:t>
      </w:r>
      <w:r>
        <w:rPr>
          <w:rFonts w:hint="eastAsia" w:ascii="仿宋_GB2312" w:hAnsi="宋体" w:eastAsia="仿宋_GB2312"/>
          <w:color w:val="000000" w:themeColor="text1"/>
          <w:sz w:val="32"/>
          <w:szCs w:val="32"/>
          <w14:textFill>
            <w14:solidFill>
              <w14:schemeClr w14:val="tx1"/>
            </w14:solidFill>
          </w14:textFill>
        </w:rPr>
        <w:t>的合理性及必要性，通过</w:t>
      </w:r>
      <w:r>
        <w:rPr>
          <w:rFonts w:ascii="仿宋_GB2312" w:hAnsi="宋体" w:eastAsia="仿宋_GB2312"/>
          <w:color w:val="000000" w:themeColor="text1"/>
          <w:sz w:val="32"/>
          <w:szCs w:val="32"/>
          <w14:textFill>
            <w14:solidFill>
              <w14:schemeClr w14:val="tx1"/>
            </w14:solidFill>
          </w14:textFill>
        </w:rPr>
        <w:t>查阅双方报告期内的关联交易合同，对比</w:t>
      </w:r>
      <w:r>
        <w:rPr>
          <w:rFonts w:hint="eastAsia" w:ascii="仿宋_GB2312" w:hAnsi="宋体" w:eastAsia="仿宋_GB2312"/>
          <w:color w:val="000000" w:themeColor="text1"/>
          <w:sz w:val="32"/>
          <w:szCs w:val="32"/>
          <w14:textFill>
            <w14:solidFill>
              <w14:schemeClr w14:val="tx1"/>
            </w14:solidFill>
          </w14:textFill>
        </w:rPr>
        <w:t>不同时点的</w:t>
      </w:r>
      <w:r>
        <w:rPr>
          <w:rFonts w:ascii="仿宋_GB2312" w:hAnsi="宋体" w:eastAsia="仿宋_GB2312"/>
          <w:color w:val="000000" w:themeColor="text1"/>
          <w:sz w:val="32"/>
          <w:szCs w:val="32"/>
          <w14:textFill>
            <w14:solidFill>
              <w14:schemeClr w14:val="tx1"/>
            </w14:solidFill>
          </w14:textFill>
        </w:rPr>
        <w:t>关联采购价格与当时</w:t>
      </w:r>
      <w:r>
        <w:rPr>
          <w:rFonts w:hint="eastAsia" w:ascii="仿宋_GB2312" w:eastAsia="仿宋_GB2312" w:cs="仿宋_GB2312" w:hAnsiTheme="minorHAnsi"/>
          <w:kern w:val="0"/>
          <w:sz w:val="32"/>
          <w:szCs w:val="32"/>
        </w:rPr>
        <w:t>同类采购产品</w:t>
      </w:r>
      <w:r>
        <w:rPr>
          <w:rFonts w:ascii="仿宋_GB2312" w:hAnsi="宋体" w:eastAsia="仿宋_GB2312"/>
          <w:color w:val="000000" w:themeColor="text1"/>
          <w:sz w:val="32"/>
          <w:szCs w:val="32"/>
          <w14:textFill>
            <w14:solidFill>
              <w14:schemeClr w14:val="tx1"/>
            </w14:solidFill>
          </w14:textFill>
        </w:rPr>
        <w:t>的市场公允价格，判断关联采购的定价是否合理，</w:t>
      </w:r>
      <w:r>
        <w:rPr>
          <w:rFonts w:hint="eastAsia" w:ascii="仿宋_GB2312" w:hAnsi="宋体" w:eastAsia="仿宋_GB2312"/>
          <w:color w:val="000000" w:themeColor="text1"/>
          <w:sz w:val="32"/>
          <w:szCs w:val="32"/>
          <w14:textFill>
            <w14:solidFill>
              <w14:schemeClr w14:val="tx1"/>
            </w14:solidFill>
          </w14:textFill>
        </w:rPr>
        <w:t>信用期是否合理，</w:t>
      </w:r>
      <w:r>
        <w:rPr>
          <w:rFonts w:ascii="仿宋_GB2312" w:hAnsi="宋体" w:eastAsia="仿宋_GB2312"/>
          <w:color w:val="000000" w:themeColor="text1"/>
          <w:sz w:val="32"/>
          <w:szCs w:val="32"/>
          <w14:textFill>
            <w14:solidFill>
              <w14:schemeClr w14:val="tx1"/>
            </w14:solidFill>
          </w14:textFill>
        </w:rPr>
        <w:t>是否存在大股东与发行人之间的利润输送或资金转移情况，</w:t>
      </w:r>
      <w:r>
        <w:rPr>
          <w:rFonts w:hint="eastAsia" w:ascii="仿宋_GB2312" w:hAnsi="宋体" w:eastAsia="仿宋_GB2312"/>
          <w:color w:val="000000" w:themeColor="text1"/>
          <w:sz w:val="32"/>
          <w:szCs w:val="32"/>
          <w14:textFill>
            <w14:solidFill>
              <w14:schemeClr w14:val="tx1"/>
            </w14:solidFill>
          </w14:textFill>
        </w:rPr>
        <w:t>原则上要</w:t>
      </w:r>
      <w:r>
        <w:rPr>
          <w:rFonts w:ascii="仿宋_GB2312" w:hAnsi="宋体" w:eastAsia="仿宋_GB2312"/>
          <w:color w:val="000000" w:themeColor="text1"/>
          <w:sz w:val="32"/>
          <w:szCs w:val="32"/>
          <w14:textFill>
            <w14:solidFill>
              <w14:schemeClr w14:val="tx1"/>
            </w14:solidFill>
          </w14:textFill>
        </w:rPr>
        <w:t>覆盖报告期各期前五大关联供应商。如发行人关联采购占比较大，保荐人可结合发行人关联交易的特点，科学调整核查范围。</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4、函证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对供应商的函证，保荐人可以结合发行人的重要性水平、供应商分布特点、业务类别、往来余额和占比等具体情况，分析函证比例的恰当性，并与会计师讨论函证情况是否可以有效的防止重大错报的发生。</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可以合理信赖会计师的函证工作结果，但应结合供应商性质、规模及采购模式等因素，对主要供应商通过实地走访、访谈、追查采购合同、采购发票、产品入库单、运输单、银行回单或补充函证等方法对采购业务进一步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5、访谈</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获取发行人报告期内供应商名单，结合主要供应商的性质、规模等因素，分析是否需要对主要供应商采取访谈的核查程序，对采购业务发生的真实性和准确性进一步核查。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如需采用访谈的核查程序，应根据定量或定性的标准，独立的从供应商的名单中选择要访谈的对象，编制对供应商的走访计划，确定走访的对象和范围，选择发行人最近三年主要的或具有特殊、异常特征的供应商进行访谈。供应商的选取可参照客户的选取原则。</w:t>
      </w:r>
    </w:p>
    <w:p>
      <w:pPr>
        <w:spacing w:line="360" w:lineRule="auto"/>
        <w:ind w:firstLine="640" w:firstLineChars="200"/>
        <w:outlineLvl w:val="2"/>
        <w:rPr>
          <w:rFonts w:ascii="仿宋_GB2312" w:hAnsi="宋体" w:eastAsia="仿宋_GB2312"/>
          <w:color w:val="000000"/>
          <w:sz w:val="32"/>
          <w:szCs w:val="32"/>
        </w:rPr>
      </w:pPr>
      <w:bookmarkStart w:id="73" w:name="_Toc105940626"/>
      <w:bookmarkStart w:id="74" w:name="_Toc76472360"/>
      <w:r>
        <w:rPr>
          <w:rFonts w:ascii="仿宋_GB2312" w:hAnsi="宋体" w:eastAsia="仿宋_GB2312"/>
          <w:color w:val="000000"/>
          <w:sz w:val="32"/>
          <w:szCs w:val="32"/>
        </w:rPr>
        <w:t xml:space="preserve">4.5.13  </w:t>
      </w:r>
      <w:r>
        <w:rPr>
          <w:rFonts w:hint="eastAsia" w:ascii="仿宋_GB2312" w:hAnsi="宋体" w:eastAsia="仿宋_GB2312"/>
          <w:color w:val="000000"/>
          <w:sz w:val="32"/>
          <w:szCs w:val="32"/>
        </w:rPr>
        <w:t>生产情况</w:t>
      </w:r>
      <w:bookmarkEnd w:id="73"/>
      <w:bookmarkEnd w:id="74"/>
    </w:p>
    <w:p>
      <w:pPr>
        <w:spacing w:line="360" w:lineRule="auto"/>
        <w:ind w:firstLine="640" w:firstLineChars="200"/>
        <w:rPr>
          <w:rFonts w:ascii="宋体" w:hAnsi="宋体"/>
          <w:sz w:val="24"/>
          <w:szCs w:val="24"/>
        </w:rPr>
      </w:pPr>
      <w:bookmarkStart w:id="75" w:name="_Toc475710396"/>
      <w:r>
        <w:rPr>
          <w:rFonts w:ascii="仿宋_GB2312" w:hAnsi="宋体" w:eastAsia="仿宋_GB2312"/>
          <w:color w:val="000000" w:themeColor="text1"/>
          <w:sz w:val="32"/>
          <w:szCs w:val="32"/>
          <w14:textFill>
            <w14:solidFill>
              <w14:schemeClr w14:val="tx1"/>
            </w14:solidFill>
          </w14:textFill>
        </w:rPr>
        <w:t>1、生产模式</w:t>
      </w:r>
      <w:bookmarkEnd w:id="75"/>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保荐人可以采取访谈生产部门的管理层及负责人、实地查看并取得相关资料等方式，了解发行人的生产布局、生产或服务模式、影响该模式的关键因素、生产或服务模式及影响因素在报告期内的变化情况及未来变化趋势。发行人的业务及其模式具有创新性的，了解并分析评价其独特性、创新内容及持续创新机制。</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（2）取得生产流程资料，结合生产核心技术或关键生产环节，与发行人所处行业的技术水平及技术特点相对比，分析评价发行人生产工艺、技术在行业中的领先程度。</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保荐人可以采取访谈生产部门负责人、取得发行人相关生产项目立项的文件和生产的相关资料等方式，了解发行人主要产品的设计生产能力、产量及销量，或服务能力和服务量，分析各生产环节是否存在瓶颈制约。计算报告期产能利用率和产销率，分析产能利用率和产销率波动的原因及合理性。如特殊行业存在无法定义产能情况的，结合访谈对生产流程进行分析，了解无法定义产能的原因。</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4）保荐人可以通过现场观察、查阅财务资料等方法，核查发行人主要资产的情况</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包括主要设备</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房产等资产的成新率和剩余使用年限</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在发行人及其下属公司的分布情况；关注是否存在闲置，是否对闲</w:t>
      </w:r>
      <w:r>
        <w:rPr>
          <w:rFonts w:hint="eastAsia" w:ascii="仿宋_GB2312" w:hAnsi="宋体" w:eastAsia="仿宋_GB2312"/>
          <w:color w:val="000000" w:themeColor="text1"/>
          <w:sz w:val="32"/>
          <w:szCs w:val="32"/>
          <w14:textFill>
            <w14:solidFill>
              <w14:schemeClr w14:val="tx1"/>
            </w14:solidFill>
          </w14:textFill>
        </w:rPr>
        <w:t>置资产做出安排；涉及租赁的，取得租赁合同，分析相关条款和实际执行情况；涉及关联方租赁的，分析租赁的必要性、合理性和租赁价格的公允性。调查发行人是否存在设备抵押贷款的情形，如有，查阅借款合同的条款及还款情况，分析预期债务是否会对发行人的生产保障构成影响。取得发行人关键设备、厂房等重要资产的保险合同（如有）或其它保障协定，判断发行人对重要财产是否实施了必要的保障措施。调查发行人是否存在使用或租赁使用集体建设用地、划拨地、农用地、耕地、基本农田及其上建造的房产的情形，如有，分析发行人取得和使用是否符合《土地管理法》等法律法规的规定、是否依法办理了必要的审批或租赁备案手续、有关房产是否为合法建筑、是否可能被行政处罚、是否构成重大违法行为；发行人使用或租赁的土地及其上建造的房产存在不规范情形且短期内无法整改的，评估其对于发行人的重要性。重点核查因土地问题被处罚的责任承担主体、搬迁的费用及承担主体、有无下一步解决措施等，以及不规范事项是否对发行人持续经营构成重大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专利、非专利技术、土地使用权、水面养殖权、探矿权、采矿权等主要无形资产的明细资料，分析其剩余使用期限或保护期情况，关注其对发行人生产经营的重大影响。取得发行人许可或被许可使用资产的合同文件，关注许可使用的具体资产内容、许可方式、许可年限、许可使用费，分析未来对发行人生产经营可能造成的影响；调查上述许可合同中，发行人所有或使用的资产存在纠纷或潜在纠纷的情况。取得发行人拥有的特许经营权的法律文件，分析特许经营权的取得、期限、费用标准等，关注对发行人持续生产经营的影响。发行人与他人共享特许经营权等资源要素的，分析共享的方式、条件、期限、费用等。</w:t>
      </w:r>
    </w:p>
    <w:p>
      <w:pPr>
        <w:spacing w:line="360" w:lineRule="auto"/>
        <w:ind w:firstLine="640" w:firstLineChars="200"/>
        <w:rPr>
          <w:rFonts w:ascii="仿宋_GB2312" w:hAnsi="宋体" w:eastAsia="仿宋_GB2312"/>
          <w:b/>
          <w:color w:val="000000" w:themeColor="text1"/>
          <w:sz w:val="32"/>
          <w:szCs w:val="32"/>
          <w14:textFill>
            <w14:solidFill>
              <w14:schemeClr w14:val="tx1"/>
            </w14:solidFill>
          </w14:textFill>
        </w:rPr>
      </w:pPr>
      <w:bookmarkStart w:id="76" w:name="_Toc475710397"/>
      <w:r>
        <w:rPr>
          <w:rFonts w:ascii="仿宋_GB2312" w:hAnsi="宋体" w:eastAsia="仿宋_GB2312"/>
          <w:color w:val="000000" w:themeColor="text1"/>
          <w:sz w:val="32"/>
          <w:szCs w:val="32"/>
          <w14:textFill>
            <w14:solidFill>
              <w14:schemeClr w14:val="tx1"/>
            </w14:solidFill>
          </w14:textFill>
        </w:rPr>
        <w:t>2、境外生产</w:t>
      </w:r>
      <w:bookmarkEnd w:id="76"/>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保荐人可以通过实地走访、查阅第三方公开资料、访谈相关负责人员等方式核查发行人境外经营的总体情况，分析其境外的生产经营规模、盈利状况、境外生产经营所在国的政治和经济环境及主要风险。</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保荐人可以采取查阅发行人境外生产经营所在国家或地区的法律法规的规定、聘请境外律师或其他专业机构出具专业意见等方式来调查和了解发行人的境外生产是否符合当地国家和地区的法律法规的规定。</w:t>
      </w:r>
    </w:p>
    <w:p>
      <w:pPr>
        <w:spacing w:line="360" w:lineRule="auto"/>
        <w:ind w:firstLine="640" w:firstLineChars="200"/>
        <w:rPr>
          <w:rFonts w:ascii="仿宋_GB2312" w:hAnsi="宋体" w:eastAsia="仿宋_GB2312"/>
          <w:color w:val="000000" w:themeColor="text1"/>
          <w:szCs w:val="32"/>
          <w14:textFill>
            <w14:solidFill>
              <w14:schemeClr w14:val="tx1"/>
            </w14:solidFill>
          </w14:textFill>
        </w:rPr>
      </w:pPr>
      <w:bookmarkStart w:id="77" w:name="_Toc475710398"/>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生产质量</w:t>
      </w:r>
      <w:bookmarkEnd w:id="77"/>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保荐人可以通过查阅或取得生产质量控制相关的制度和报告期内关于生产质控的有关资料、访谈发行人负责生产质量相关人员或政府主管部门、现场实地考察等方式了解发行人质量管理的组织设置、质量控制制度和实施情况、取得的质量认证情况，分析主要产品和服务的质量控制标准、措施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保荐人可以通过取得发行人获得的产品质量的认证文件以及报告期内因产品质量问题而受到处罚的相关文件（如有）等方式，了解发行人产品（服务）的质量控制是否符合行业标准，报告期是否因产品质量问题受过质量技术监督部门的处罚。结合相关法律法规的规定、与政府主管部门访谈或取得专项意见的方式，了解产品质量问题受到的处罚是否属于重大违法违规行为，对发行人持续经营能力是否构成重大不利影响，是否合理且充分计提了质量保证金。</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bookmarkStart w:id="78" w:name="_Toc475710399"/>
      <w:r>
        <w:rPr>
          <w:rFonts w:ascii="仿宋_GB2312" w:hAnsi="宋体" w:eastAsia="仿宋_GB2312"/>
          <w:color w:val="000000" w:themeColor="text1"/>
          <w:sz w:val="32"/>
          <w:szCs w:val="32"/>
          <w14:textFill>
            <w14:solidFill>
              <w14:schemeClr w14:val="tx1"/>
            </w14:solidFill>
          </w14:textFill>
        </w:rPr>
        <w:t>4、安全生产</w:t>
      </w:r>
      <w:bookmarkEnd w:id="78"/>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保荐人可以通过实地查看发行人的安全生产设施、访谈安全部门的相关人员等方式、查阅或取得发行人报告期内安全生产的相关制度等方式了解发行人的生产是否存在重大安全隐患，以及采取保障安全生产的措施是否有效。</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2）保荐人可以通过访谈会计师、取得发行人提供的安全生产投入的相关资料等方式了解报告期内</w:t>
      </w:r>
      <w:r>
        <w:rPr>
          <w:rFonts w:hint="eastAsia" w:ascii="仿宋_GB2312" w:eastAsia="仿宋_GB2312" w:hAnsiTheme="minorEastAsia"/>
          <w:color w:val="000000" w:themeColor="text1"/>
          <w:sz w:val="32"/>
          <w:szCs w:val="32"/>
          <w14:textFill>
            <w14:solidFill>
              <w14:schemeClr w14:val="tx1"/>
            </w14:solidFill>
          </w14:textFill>
        </w:rPr>
        <w:t>发行人在安全生产方面的投入及未来可能的投入情况。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3）保荐人</w:t>
      </w:r>
      <w:r>
        <w:rPr>
          <w:rFonts w:hint="eastAsia" w:ascii="仿宋_GB2312" w:hAnsi="宋体" w:eastAsia="仿宋_GB2312"/>
          <w:color w:val="000000" w:themeColor="text1"/>
          <w:sz w:val="32"/>
          <w:szCs w:val="32"/>
          <w14:textFill>
            <w14:solidFill>
              <w14:schemeClr w14:val="tx1"/>
            </w14:solidFill>
          </w14:textFill>
        </w:rPr>
        <w:t>可以通过了解发行人报告期内发生过的安全事故或因为安全生产受到处罚的情况，并根据安全生产的相关法律法规和实际的影响来判断是否构成重大的安全事故和发生的原因、整改情况是否已完成、相关因素是否已消除。若相关事项不构成重大违法违规，保荐人仍需要适当关注整改情况及安全事故对发行人生产经营、经营业绩可能产生的影响。</w:t>
      </w:r>
    </w:p>
    <w:p>
      <w:pPr>
        <w:spacing w:line="360" w:lineRule="auto"/>
        <w:ind w:firstLine="640" w:firstLineChars="200"/>
        <w:rPr>
          <w:rFonts w:ascii="仿宋_GB2312" w:hAnsi="宋体" w:eastAsia="仿宋_GB2312"/>
          <w:b/>
          <w:color w:val="000000" w:themeColor="text1"/>
          <w:sz w:val="32"/>
          <w:szCs w:val="32"/>
          <w14:textFill>
            <w14:solidFill>
              <w14:schemeClr w14:val="tx1"/>
            </w14:solidFill>
          </w14:textFill>
        </w:rPr>
      </w:pPr>
      <w:bookmarkStart w:id="79" w:name="_Toc475710400"/>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、环</w:t>
      </w:r>
      <w:bookmarkEnd w:id="79"/>
      <w:r>
        <w:rPr>
          <w:rFonts w:hint="eastAsia" w:ascii="仿宋_GB2312" w:hAnsi="宋体" w:eastAsia="仿宋_GB2312"/>
          <w:color w:val="000000" w:themeColor="text1"/>
          <w:sz w:val="32"/>
          <w:szCs w:val="32"/>
          <w14:textFill>
            <w14:solidFill>
              <w14:schemeClr w14:val="tx1"/>
            </w14:solidFill>
          </w14:textFill>
        </w:rPr>
        <w:t>境保护</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保荐人可以通过实地查看发行人的环保设备、查阅环保部门对发行人生产的环保要求和生产工艺是否符合环境保护相关法规、取得发行人报告期污染废弃物排放的相关资料或其他第三方出具的关于发行人环保排放的有关文件等方式，了解生产经营中涉及环境污染的具体环节、主要环境污染物名称及排放量、主要处理设施及处理能力，以及发行人的环境保护的设备设置是否符合相关规定和环保设备实际运转是否正常。</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保荐人可以通过访谈会计师、取得发行人提供的环保投入的相关资料等方式了解发行人报告期在环境保护方面的投入及未来可能的投入情况、环保设施实际运行情况、报告期内环保投入及环保相关成本费用是否与处理公司生产经营所产生的污染相匹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3）保荐人可以通过独立网上查询发行人和全部子公司所在地环保部门及环保部网站的行政处罚信息</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查询有关发行人环保情况的媒体报道</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查询第三方环评机构出具的相关报告</w:t>
      </w:r>
      <w:r>
        <w:rPr>
          <w:rFonts w:hint="eastAsia" w:ascii="仿宋_GB2312" w:hAnsi="宋体" w:eastAsia="仿宋_GB2312"/>
          <w:color w:val="000000" w:themeColor="text1"/>
          <w:sz w:val="32"/>
          <w:szCs w:val="32"/>
          <w14:textFill>
            <w14:solidFill>
              <w14:schemeClr w14:val="tx1"/>
            </w14:solidFill>
          </w14:textFill>
        </w:rPr>
        <w:t>（如有）</w:t>
      </w:r>
      <w:r>
        <w:rPr>
          <w:rFonts w:ascii="仿宋_GB2312" w:hAnsi="宋体" w:eastAsia="仿宋_GB2312"/>
          <w:color w:val="000000" w:themeColor="text1"/>
          <w:sz w:val="32"/>
          <w:szCs w:val="32"/>
          <w14:textFill>
            <w14:solidFill>
              <w14:schemeClr w14:val="tx1"/>
            </w14:solidFill>
          </w14:textFill>
        </w:rPr>
        <w:t>、访谈发行人相关负责人或实地走访环保部门等方式，了解报告期是否存在因环保问题而受到处罚的情况</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是否发生环保事故或重大群体性的环保事件，如果存在，保荐人还需要进一步了解和关注具体情况</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整改措施和整改结果</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调查整改后是否符合环保法律法规的有关规定</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是否构成重大违法行为。</w:t>
      </w:r>
    </w:p>
    <w:p>
      <w:pPr>
        <w:spacing w:line="360" w:lineRule="auto"/>
        <w:ind w:firstLine="640" w:firstLineChars="200"/>
        <w:outlineLvl w:val="2"/>
        <w:rPr>
          <w:rFonts w:ascii="仿宋_GB2312" w:hAnsi="宋体" w:eastAsia="仿宋_GB2312"/>
          <w:color w:val="000000"/>
          <w:sz w:val="32"/>
          <w:szCs w:val="32"/>
        </w:rPr>
      </w:pPr>
      <w:bookmarkStart w:id="80" w:name="_Toc105940627"/>
      <w:bookmarkStart w:id="81" w:name="_Toc76472361"/>
      <w:r>
        <w:rPr>
          <w:rFonts w:ascii="仿宋_GB2312" w:hAnsi="宋体" w:eastAsia="仿宋_GB2312"/>
          <w:color w:val="000000"/>
          <w:sz w:val="32"/>
          <w:szCs w:val="32"/>
        </w:rPr>
        <w:t xml:space="preserve">4.5.14  </w:t>
      </w:r>
      <w:r>
        <w:rPr>
          <w:rFonts w:hint="eastAsia" w:ascii="仿宋_GB2312" w:hAnsi="宋体" w:eastAsia="仿宋_GB2312"/>
          <w:color w:val="000000"/>
          <w:sz w:val="32"/>
          <w:szCs w:val="32"/>
        </w:rPr>
        <w:t>核心技术人员、技术与研发情况</w:t>
      </w:r>
      <w:bookmarkEnd w:id="80"/>
      <w:bookmarkEnd w:id="81"/>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1、核心技术人员的</w:t>
      </w:r>
      <w:r>
        <w:rPr>
          <w:rFonts w:hint="eastAsia" w:ascii="仿宋_GB2312" w:hAnsi="宋体" w:eastAsia="仿宋_GB2312"/>
          <w:color w:val="000000" w:themeColor="text1"/>
          <w:sz w:val="32"/>
          <w:szCs w:val="32"/>
          <w14:textFill>
            <w14:solidFill>
              <w14:schemeClr w14:val="tx1"/>
            </w14:solidFill>
          </w14:textFill>
        </w:rPr>
        <w:t>认定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根据企业生产经营需要和相关人员对企业生产经营发挥的实际作用，核查核心技术人员的认定情况和认定依据，并核查全部核心技术人员的任职岗位、学历背景、科研成果、专业资质、获得奖项等相关情况及对公司研发的具体贡献、核心技术人员的任职是否违反曾经签订的竞业禁止协议等。保荐人可根据企业特点，适当扩大核查样本，关注未被认定</w:t>
      </w:r>
      <w:r>
        <w:rPr>
          <w:rFonts w:hint="eastAsia" w:ascii="仿宋_GB2312" w:hAnsi="宋体" w:eastAsia="仿宋_GB2312"/>
          <w:color w:val="000000" w:themeColor="text1"/>
          <w:sz w:val="32"/>
          <w:szCs w:val="32"/>
          <w14:textFill>
            <w14:solidFill>
              <w14:schemeClr w14:val="tx1"/>
            </w14:solidFill>
          </w14:textFill>
        </w:rPr>
        <w:t>为核心技术人员</w:t>
      </w:r>
      <w:r>
        <w:rPr>
          <w:rFonts w:hint="eastAsia" w:ascii="仿宋_GB2312" w:hAnsi="宋体" w:eastAsia="仿宋_GB2312"/>
          <w:color w:val="000000" w:themeColor="text1"/>
          <w:sz w:val="32"/>
          <w:szCs w:val="32"/>
          <w14:textFill>
            <w14:solidFill>
              <w14:schemeClr w14:val="tx1"/>
            </w14:solidFill>
          </w14:textFill>
        </w:rPr>
        <w:t>、但任职重要研发岗位或作为专利发明人等情形的技术人员。</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2、技术先进性及技术创新能力</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研发体制、研发机构设置、激励制度等资料，调查发行人的研发模式和研发系统的设置和运行情况，调查发行人保持技术不断创新的机制、技术储备及技术创新的安排，储备技术产业化的计划、进展及市场前景。分析发行人是否存在良好的技术创新机制，是否能够满足发行人未来发展的需要。调查发行人拥有的专利、非专利技术、技术许可协议、技术合作协议、自主知识产权的数量与质量、技术储备、科研设施等情况，对发行人的研发能力进行分析。</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取得发行人正在从事的重要研发项目的相关资料，包括研发项目所处阶段及进展情况、相应人员、经费投入、拟达到的目标；结合行业技术发展趋势，分析相关科研项目与行业技术水平的比较情况。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调查发行人主要产品生产技术所处的阶段（如基础研究、中试、小批量生产或大批量生产阶段）。分析发行人主要产品（服务）的核心技术，考察其技术水平、技术成熟程度。调查行业内主要技术路径及发行人的技术路径选择，行业内的关键核心技术及发行人的掌握情况等。结合同行业技术发展水平、技术进步情况和发行人对行业的贡献，分析发行人的技术先进性及具体表征。</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保荐人需获取发行人所有重要奖项、重大科研项目、核心学术期刊发表论文、参与制定的国家、地区、行业标准等科研成果。保荐人可对科研成果和发行人核心技术的印证关系进行额外关注。</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核心技术对发行人的贡献</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调查核心技术在主营业务及产品（服务）中的应用和贡献情况。对发行人未来经营存在重大影响的关键技术，应当予以特别关注和专项调查。结合发行人的核心技术的成熟程度和应用水平，相对同类技术的优势，核心技术的未来发展趋势及其相应产品前景等因素，对发行人核心技术对生产经营的影响程度进行分析。</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4、核心技术的保护</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核心技术人员的奖励制度、股权激励计划等资料，调查发行人对关键技术人员是否实施了有效的约束激励措施，是否有效避免了关键技术人才的流失和技术秘密的外泄。分析报告期内核心技术人员的主要变动情况及对发行人的影响。核查核心技术是否取得专利或其他技术保护措施。</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调查专利技术和非专利技术许可方式、允许使用期限及到期的处理方法，考察主要产品的技术含量和可替代性；对于专利技术，应关注专利的有效期及到期后对发行人的影响，并核查侵权情况及发行人具体的保护措施与效果；对于非专利技术，应取得发行人相关保密制度及其与核心技术人员签订的保密协议等，调查发行人具体的技术保护措施和实际的保护状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5、研发项目及合作研发情况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访谈发行人，并取得发行人研发项目清单，核查研发项目的研发内容、立项、审批、研发资金来源、委外研发协议、技术成果归属等文件，核查是否存在合作研发项目，核查研发阶段性工作记录、测试报告或会议纪要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此外，对于发行人取得的重要奖项，了解奖项的颁发机构、社会及行业对奖项的认可程度、发行人是否单独获得等，若属于共同获奖，了解发行人在奖项中所起的作用。对于重大科研项目，了解发行人是否独立承担，若属于与其他方共同承担，了解发行人在项目中所起的作用，了解科研经费的来源、自筹经费与财政拨款的比例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与其他单位合作研发的，调查合作研发的内容和范围、权利义务划分约定、风险责任的承担方式、成果分配和收益分成约定，以及采取的保密措施等。在以上核查内容的基础上，保荐人可以与律师一起，论证该等合作研发的重要性及其对发行人生产经营的具体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专利纠纷的核查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发行人的部分专利系继受取得或与他人共有的，核查继受取得或与他人共有专利的重要性，与所提供产品（服务）的内在联系；继受取得或与他人共有专利的背景、过程，是否存在瑕疵、纠纷和潜在纠纷；原权利人、共有人的基本信息，共有人使用或许可专利的具体情况。核查核心技术的取得方式及使用情况，是否来源于核心技术人员在之前单位的职务发明，是否为独立研发，判断是否存在纠纷或潜在纠纷及侵犯他人知识产权的情形。</w:t>
      </w:r>
    </w:p>
    <w:p>
      <w:pPr>
        <w:spacing w:line="360" w:lineRule="auto"/>
        <w:ind w:firstLine="640" w:firstLineChars="200"/>
        <w:outlineLvl w:val="2"/>
        <w:rPr>
          <w:rFonts w:ascii="仿宋_GB2312" w:hAnsi="宋体" w:eastAsia="仿宋_GB2312"/>
          <w:color w:val="000000"/>
          <w:sz w:val="32"/>
          <w:szCs w:val="32"/>
        </w:rPr>
      </w:pPr>
      <w:bookmarkStart w:id="82" w:name="_Toc105940628"/>
      <w:bookmarkStart w:id="83" w:name="_Toc76472367"/>
      <w:bookmarkStart w:id="84" w:name="_Toc475710403"/>
      <w:r>
        <w:rPr>
          <w:rFonts w:ascii="仿宋_GB2312" w:hAnsi="宋体" w:eastAsia="仿宋_GB2312"/>
          <w:color w:val="000000"/>
          <w:sz w:val="32"/>
          <w:szCs w:val="32"/>
        </w:rPr>
        <w:t>4.5.15  财务报告及相关财务资料</w:t>
      </w:r>
      <w:bookmarkEnd w:id="82"/>
      <w:bookmarkEnd w:id="83"/>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经注册会计师审计或发表专业意见的财务报告及相关财务资料的内容进行审慎核查。审慎核查时，不仅需关注财务信息各构成要素之间是否相匹配，还需关注财务信息与相关非财务信息之间是否相匹配，特别是应将财务分析与发行人实际业务情况相结合，关注发行人的业务发展、业务管理状况，了解发行人业务的实际操作程序、相关经营部门的经营业绩，对发行人财务状况做出总体评价。关注会计师、管理层与财务报告相关的重大事项和重要性水平的判断标准。在此基础上，对重要的财务事项进行重点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本章节中提及的重要性水平是指会计师根据《</w:t>
      </w:r>
      <w:r>
        <w:rPr>
          <w:rFonts w:ascii="仿宋_GB2312" w:hAnsi="宋体" w:eastAsia="仿宋_GB2312"/>
          <w:color w:val="000000" w:themeColor="text1"/>
          <w:sz w:val="32"/>
          <w:szCs w:val="32"/>
          <w14:textFill>
            <w14:solidFill>
              <w14:schemeClr w14:val="tx1"/>
            </w14:solidFill>
          </w14:textFill>
        </w:rPr>
        <w:t>中国注册会计师审计准则第 1221 号——计划和执行审计工作时的重要性》《中国注册会计师审计准则问题解答第 8 号 ——重要性及评价错报》</w:t>
      </w:r>
      <w:r>
        <w:rPr>
          <w:rFonts w:hint="eastAsia" w:ascii="仿宋_GB2312" w:hAnsi="宋体" w:eastAsia="仿宋_GB2312"/>
          <w:color w:val="000000" w:themeColor="text1"/>
          <w:sz w:val="32"/>
          <w:szCs w:val="32"/>
          <w14:textFill>
            <w14:solidFill>
              <w14:schemeClr w14:val="tx1"/>
            </w14:solidFill>
          </w14:textFill>
        </w:rPr>
        <w:t>等相关规定制定的。重要性水平是保荐人对财务事项执行尽调工作的重要参考，但并非要求保荐人按照会计师的审计标准在所有财务方面执行与会计师重复性的核查工作。保荐人应向会计师了解审计过程中重点关注的事项以及执行的主要审计程序，并结合发行人的业务特点、规范治理情况等，有针对性地设计尽调程序。</w:t>
      </w:r>
    </w:p>
    <w:p>
      <w:pPr>
        <w:spacing w:line="360" w:lineRule="auto"/>
        <w:ind w:firstLine="640" w:firstLineChars="200"/>
        <w:outlineLvl w:val="2"/>
        <w:rPr>
          <w:rFonts w:ascii="仿宋_GB2312" w:hAnsi="宋体" w:eastAsia="仿宋_GB2312"/>
          <w:color w:val="000000"/>
          <w:sz w:val="32"/>
          <w:szCs w:val="32"/>
        </w:rPr>
      </w:pPr>
      <w:bookmarkStart w:id="85" w:name="_Toc76472368"/>
      <w:bookmarkStart w:id="86" w:name="_Toc105940629"/>
      <w:r>
        <w:rPr>
          <w:rFonts w:ascii="仿宋_GB2312" w:hAnsi="宋体" w:eastAsia="仿宋_GB2312"/>
          <w:color w:val="000000"/>
          <w:sz w:val="32"/>
          <w:szCs w:val="32"/>
        </w:rPr>
        <w:t xml:space="preserve">4.5.16 </w:t>
      </w:r>
      <w:bookmarkEnd w:id="84"/>
      <w:r>
        <w:rPr>
          <w:rFonts w:ascii="仿宋_GB2312" w:hAnsi="宋体" w:eastAsia="仿宋_GB2312"/>
          <w:color w:val="000000"/>
          <w:sz w:val="32"/>
          <w:szCs w:val="32"/>
        </w:rPr>
        <w:t xml:space="preserve"> 销售收入</w:t>
      </w:r>
      <w:bookmarkEnd w:id="85"/>
      <w:bookmarkEnd w:id="86"/>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1、收入确认政策</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询问会计师，查阅银行存款、应收账款、销售收入及其他相关科目等方法，结合发行人的业务模式、交易惯例、销售合同关键条款、同行业可比公司收入确认政策等，</w:t>
      </w:r>
      <w:r>
        <w:rPr>
          <w:rFonts w:hint="eastAsia" w:ascii="仿宋_GB2312" w:hAnsi="宋体" w:eastAsia="仿宋_GB2312"/>
          <w:color w:val="000000" w:themeColor="text1"/>
          <w:sz w:val="32"/>
          <w:szCs w:val="32"/>
          <w14:textFill>
            <w14:solidFill>
              <w14:schemeClr w14:val="tx1"/>
            </w14:solidFill>
          </w14:textFill>
        </w:rPr>
        <w:t>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发行人确认收入的具体标准以及</w:t>
      </w:r>
      <w:r>
        <w:rPr>
          <w:rFonts w:hint="eastAsia" w:ascii="仿宋_GB2312" w:hAnsi="宋体" w:eastAsia="仿宋_GB2312"/>
          <w:color w:val="000000" w:themeColor="text1"/>
          <w:sz w:val="32"/>
          <w:szCs w:val="32"/>
          <w14:textFill>
            <w14:solidFill>
              <w14:schemeClr w14:val="tx1"/>
            </w14:solidFill>
          </w14:textFill>
        </w:rPr>
        <w:t>同行业可比上市公司收</w:t>
      </w:r>
      <w:r>
        <w:rPr>
          <w:rFonts w:ascii="仿宋_GB2312" w:hAnsi="宋体" w:eastAsia="仿宋_GB2312"/>
          <w:color w:val="000000" w:themeColor="text1"/>
          <w:sz w:val="32"/>
          <w:szCs w:val="32"/>
          <w14:textFill>
            <w14:solidFill>
              <w14:schemeClr w14:val="tx1"/>
            </w14:solidFill>
          </w14:textFill>
        </w:rPr>
        <w:t>入确认的一般原则，判断收入确认具体标准是否符合会计准则的要求</w:t>
      </w:r>
      <w:r>
        <w:rPr>
          <w:rFonts w:hint="eastAsia" w:ascii="仿宋_GB2312" w:hAnsi="宋体" w:eastAsia="仿宋_GB2312"/>
          <w:color w:val="000000" w:themeColor="text1"/>
          <w:sz w:val="32"/>
          <w:szCs w:val="32"/>
          <w14:textFill>
            <w14:solidFill>
              <w14:schemeClr w14:val="tx1"/>
            </w14:solidFill>
          </w14:textFill>
        </w:rPr>
        <w:t>及行业惯例，尽职调查中应关注如下要点：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）询问管理层、会计师，了解发行人的收入确认政策，结合</w:t>
      </w:r>
      <w:r>
        <w:rPr>
          <w:rFonts w:ascii="仿宋_GB2312" w:hAnsi="宋体" w:eastAsia="仿宋_GB2312"/>
          <w:color w:val="000000" w:themeColor="text1"/>
          <w:sz w:val="32"/>
          <w:szCs w:val="32"/>
          <w14:textFill>
            <w14:solidFill>
              <w14:schemeClr w14:val="tx1"/>
            </w14:solidFill>
          </w14:textFill>
        </w:rPr>
        <w:t>发行人业务特点、交易的惯例、业务模式等，</w:t>
      </w:r>
      <w:r>
        <w:rPr>
          <w:rFonts w:hint="eastAsia" w:ascii="仿宋_GB2312" w:hAnsi="宋体" w:eastAsia="仿宋_GB2312"/>
          <w:color w:val="000000" w:themeColor="text1"/>
          <w:sz w:val="32"/>
          <w:szCs w:val="32"/>
          <w14:textFill>
            <w14:solidFill>
              <w14:schemeClr w14:val="tx1"/>
            </w14:solidFill>
          </w14:textFill>
        </w:rPr>
        <w:t>核查对收入确认政策的影响；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查阅销售合同,</w:t>
      </w:r>
      <w:r>
        <w:rPr>
          <w:rFonts w:hint="eastAsia" w:ascii="仿宋_GB2312" w:hAnsi="宋体" w:eastAsia="仿宋_GB2312"/>
          <w:color w:val="000000" w:themeColor="text1"/>
          <w:sz w:val="32"/>
          <w:szCs w:val="32"/>
          <w14:textFill>
            <w14:solidFill>
              <w14:schemeClr w14:val="tx1"/>
            </w14:solidFill>
          </w14:textFill>
        </w:rPr>
        <w:t>分析重大合同条款，关注合同条款中的验收、付款、退换货、质保金、返利政策等条款对收入确认的影响；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查询同行业可比上市公司年报、招股说明书等资料，对比发行人的收入确认政策与同行业可比公司是否一致；</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检查出库单、物流凭证、验收单、记账凭证等业务和财务凭证，关注业务单据流转与合同约定是否一致，收入确认的证据是否充分。</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如发行人的收入确认政策与同行业可比公司存在较大差异的，通过结合会计准则的具体条款，与会计师、管理层讨论，论证发行人收入确认政策的合理性，并分析该差异对发行人财务报表的影响。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如报告期内，发行人的收入确认会计政策和会计估计发生变更或收入确认存在重大会计差错调整的，通过了解变更及会计差错调整的原因，分析对发行人财务报表的影响，并评价发行人收入确认相关内控的有效性，是否存在对利润调节的情形。</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w:t>
      </w:r>
      <w:r>
        <w:rPr>
          <w:rFonts w:ascii="仿宋_GB2312" w:hAnsi="宋体" w:eastAsia="仿宋_GB2312"/>
          <w:color w:val="000000" w:themeColor="text1"/>
          <w:sz w:val="32"/>
          <w:szCs w:val="32"/>
          <w14:textFill>
            <w14:solidFill>
              <w14:schemeClr w14:val="tx1"/>
            </w14:solidFill>
          </w14:textFill>
        </w:rPr>
        <w:t>发行人存在为客户提供信贷担保的</w:t>
      </w:r>
      <w:r>
        <w:rPr>
          <w:rFonts w:hint="eastAsia" w:ascii="仿宋_GB2312" w:hAnsi="宋体" w:eastAsia="仿宋_GB2312"/>
          <w:color w:val="000000" w:themeColor="text1"/>
          <w:sz w:val="32"/>
          <w:szCs w:val="32"/>
          <w14:textFill>
            <w14:solidFill>
              <w14:schemeClr w14:val="tx1"/>
            </w14:solidFill>
          </w14:textFill>
        </w:rPr>
        <w:t>（如客户采用由发行人向银行提供担保的银行票据回款），结合销售合同、融资或担保协议等，询问管理层或会计师，必要时，走访相关的客户、银行等机构，核查相关交易的真实性，分析相关会计处理的合理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2、销售收入的真实性、准确性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1）分析性复核程序</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根据发行人的业务特点、行业惯例等，取得发行人的季度销售收入分布、产品构成、地域构成等销售明细资料及变动情况的详细资料，分析</w:t>
      </w:r>
      <w:r>
        <w:rPr>
          <w:rFonts w:ascii="仿宋_GB2312" w:hAnsi="宋体" w:eastAsia="仿宋_GB2312"/>
          <w:color w:val="000000" w:themeColor="text1"/>
          <w:sz w:val="32"/>
          <w:szCs w:val="32"/>
          <w14:textFill>
            <w14:solidFill>
              <w14:schemeClr w14:val="tx1"/>
            </w14:solidFill>
          </w14:textFill>
        </w:rPr>
        <w:t>收入及其构成变动情况是否符合行业和市场同期的变化情况</w:t>
      </w:r>
      <w:r>
        <w:rPr>
          <w:rFonts w:hint="eastAsia" w:ascii="仿宋_GB2312" w:hAnsi="宋体" w:eastAsia="仿宋_GB2312"/>
          <w:color w:val="000000" w:themeColor="text1"/>
          <w:sz w:val="32"/>
          <w:szCs w:val="32"/>
          <w14:textFill>
            <w14:solidFill>
              <w14:schemeClr w14:val="tx1"/>
            </w14:solidFill>
          </w14:textFill>
        </w:rPr>
        <w:t>，具体执行可参考如下尽调方式：</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结合季度销售收入明细表，必要时，获取月度销售收入明细表，分析销售收入时间分布的合理性；并结合抽样测试、截止性测试以及查阅销售合同、函证、走访等程序，核查是否存在</w:t>
      </w:r>
      <w:r>
        <w:rPr>
          <w:rFonts w:ascii="仿宋_GB2312" w:hAnsi="宋体" w:eastAsia="仿宋_GB2312"/>
          <w:color w:val="000000" w:themeColor="text1"/>
          <w:sz w:val="32"/>
          <w:szCs w:val="32"/>
          <w14:textFill>
            <w14:solidFill>
              <w14:schemeClr w14:val="tx1"/>
            </w14:solidFill>
          </w14:textFill>
        </w:rPr>
        <w:t>提前或延迟确认收入或虚计收入的情况，是否存在会计期末突击确认销售</w:t>
      </w:r>
      <w:r>
        <w:rPr>
          <w:rFonts w:hint="eastAsia" w:ascii="仿宋_GB2312" w:hAnsi="宋体" w:eastAsia="仿宋_GB2312"/>
          <w:color w:val="000000" w:themeColor="text1"/>
          <w:sz w:val="32"/>
          <w:szCs w:val="32"/>
          <w14:textFill>
            <w14:solidFill>
              <w14:schemeClr w14:val="tx1"/>
            </w14:solidFill>
          </w14:textFill>
        </w:rPr>
        <w:t>收入</w:t>
      </w:r>
      <w:r>
        <w:rPr>
          <w:rFonts w:ascii="仿宋_GB2312" w:hAnsi="宋体" w:eastAsia="仿宋_GB2312"/>
          <w:color w:val="000000" w:themeColor="text1"/>
          <w:sz w:val="32"/>
          <w:szCs w:val="32"/>
          <w14:textFill>
            <w14:solidFill>
              <w14:schemeClr w14:val="tx1"/>
            </w14:solidFill>
          </w14:textFill>
        </w:rPr>
        <w:t>的情况</w:t>
      </w:r>
      <w:r>
        <w:rPr>
          <w:rFonts w:hint="eastAsia" w:ascii="仿宋_GB2312" w:hAnsi="宋体" w:eastAsia="仿宋_GB2312"/>
          <w:color w:val="000000" w:themeColor="text1"/>
          <w:sz w:val="32"/>
          <w:szCs w:val="32"/>
          <w14:textFill>
            <w14:solidFill>
              <w14:schemeClr w14:val="tx1"/>
            </w14:solidFill>
          </w14:textFill>
        </w:rPr>
        <w:t>；</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发行人收入存在季节性波动或存在强周期波动的，分析季节性因素或周期性因素对经营成果的影响</w:t>
      </w:r>
      <w:r>
        <w:rPr>
          <w:rFonts w:hint="eastAsia" w:ascii="仿宋_GB2312" w:hAnsi="宋体" w:eastAsia="仿宋_GB2312"/>
          <w:color w:val="000000" w:themeColor="text1"/>
          <w:sz w:val="32"/>
          <w:szCs w:val="32"/>
          <w14:textFill>
            <w14:solidFill>
              <w14:schemeClr w14:val="tx1"/>
            </w14:solidFill>
          </w14:textFill>
        </w:rPr>
        <w:t>；</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结合产品销售明细表，分析产品销售结构的变动情况及合理性，是否与下游客户的需求匹配，是否与行业和市场同期变化趋势一致；</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结合销售地域构成明细表，分析地域构成的变动情况，是否与发行人的子公司、经销商、下游产业结构、目标消费人群等分布一致；</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分析发行人收入的变动情况与成本、费用等财务数据之间的配比关系是否合理</w:t>
      </w:r>
      <w:r>
        <w:rPr>
          <w:rFonts w:hint="eastAsia" w:ascii="仿宋_GB2312" w:hAnsi="宋体" w:eastAsia="仿宋_GB2312"/>
          <w:color w:val="000000" w:themeColor="text1"/>
          <w:sz w:val="32"/>
          <w:szCs w:val="32"/>
          <w14:textFill>
            <w14:solidFill>
              <w14:schemeClr w14:val="tx1"/>
            </w14:solidFill>
          </w14:textFill>
        </w:rPr>
        <w:t>，是否符合同行业惯例，如销售收入变动与运输费用、业务推广费等之间的匹配关系是否合理；</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分析销售商品、提供劳务收到的现金的增减变化情况是否与发行人销售收入变化情况相符，关注交易产生的经济利益是否真正流入企业</w:t>
      </w:r>
      <w:r>
        <w:rPr>
          <w:rFonts w:hint="eastAsia" w:ascii="仿宋_GB2312" w:hAnsi="宋体" w:eastAsia="仿宋_GB2312"/>
          <w:color w:val="000000" w:themeColor="text1"/>
          <w:sz w:val="32"/>
          <w:szCs w:val="32"/>
          <w14:textFill>
            <w14:solidFill>
              <w14:schemeClr w14:val="tx1"/>
            </w14:solidFill>
          </w14:textFill>
        </w:rPr>
        <w:t>；</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取得发行人主要产品报告期价格变动的资料，了解报告期内的价格变动情况，分析发行人主要产品价格变动的基本规律及其对发行人收入变动的影响；</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搜集市场上相同或相近产品的价格信息和近年的走势情况（如有），与发行人产品价格的变动情况进行比较，分析是否存在异常</w:t>
      </w:r>
      <w:r>
        <w:rPr>
          <w:rFonts w:hint="eastAsia" w:ascii="仿宋_GB2312" w:hAnsi="宋体" w:eastAsia="仿宋_GB2312"/>
          <w:color w:val="000000" w:themeColor="text1"/>
          <w:sz w:val="32"/>
          <w:szCs w:val="32"/>
          <w14:textFill>
            <w14:solidFill>
              <w14:schemeClr w14:val="tx1"/>
            </w14:solidFill>
          </w14:textFill>
        </w:rPr>
        <w:t>；</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取得发行人报告期主要产品的销量变化资料，了解报告期内主要产品销售数量的变化情况，分析发行人主要产品销量变动的基本规律及其对发行人收入变动的影响</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存在异常变动或重大变动的，应分析并追查原因</w:t>
      </w:r>
      <w:r>
        <w:rPr>
          <w:rFonts w:hint="eastAsia" w:ascii="仿宋_GB2312" w:hAnsi="宋体" w:eastAsia="仿宋_GB2312"/>
          <w:color w:val="000000" w:themeColor="text1"/>
          <w:sz w:val="32"/>
          <w:szCs w:val="32"/>
          <w14:textFill>
            <w14:solidFill>
              <w14:schemeClr w14:val="tx1"/>
            </w14:solidFill>
          </w14:textFill>
        </w:rPr>
        <w:t>；</w:t>
      </w:r>
    </w:p>
    <w:p>
      <w:pPr>
        <w:pStyle w:val="36"/>
        <w:numPr>
          <w:ilvl w:val="0"/>
          <w:numId w:val="4"/>
        </w:numPr>
        <w:adjustRightInd w:val="0"/>
        <w:snapToGrid w:val="0"/>
        <w:spacing w:line="360" w:lineRule="auto"/>
        <w:ind w:left="0"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取得发行人产品的产量、销量、合同订单完成量、价格政策等业务执行数据，核查与财务确认数据的一致性</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11）报告期内收入爆发式增长或最近一年收入同比大幅增长的,应分析其合理性,判断波动是否与下游客户的需求匹配和行业变化趋势一致;报告期营业收入、净利润等经营业绩指标大幅下滑的,应结合行业和市场变化趋势分析合理性,判断是否存在影响发行人持续经营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结合发行人的产品构成、价格资料等，了解发行人是否存在异常、偶发或交易标的不具备实物形态（例如技术转让合同、技术服务合同、特许权使用合同等）、交易价格明显偏离正常市场价格、交易标的对交易对手而言不具有合理用途的交易，核查该等交易的真实性、公允性、可持续性及上述交易相关损益是否应界定为非经常性损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）对客户的走访、函证</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关注发行人销售模式、销售区域（如经销商模式、加盟商模式或境外销售收入占比较高等）对其收入确认的影响及是否存在异常，可以在合理信赖会计师收入核查工作的基础上，合理利用实地走访、访谈、合同调查、发询证函等手段核查相应模式下的收入真实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保荐人对函证的过程控制、核对回函、访谈客户</w:t>
      </w:r>
      <w:r>
        <w:rPr>
          <w:rFonts w:ascii="仿宋_GB2312" w:hAnsi="宋体" w:eastAsia="仿宋_GB2312"/>
          <w:color w:val="000000" w:themeColor="text1"/>
          <w:sz w:val="32"/>
          <w:szCs w:val="32"/>
          <w14:textFill>
            <w14:solidFill>
              <w14:schemeClr w14:val="tx1"/>
            </w14:solidFill>
          </w14:textFill>
        </w:rPr>
        <w:t>等核查工作可参照本示范实践“第四章4.5.11 销售情况”的要求执行。</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）对销售执行抽样测试</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抽样测试主要是通过</w:t>
      </w:r>
      <w:r>
        <w:rPr>
          <w:rFonts w:ascii="仿宋_GB2312" w:hAnsi="宋体" w:eastAsia="仿宋_GB2312"/>
          <w:color w:val="000000" w:themeColor="text1"/>
          <w:sz w:val="32"/>
          <w:szCs w:val="32"/>
          <w14:textFill>
            <w14:solidFill>
              <w14:schemeClr w14:val="tx1"/>
            </w14:solidFill>
          </w14:textFill>
        </w:rPr>
        <w:t>查阅银行存款、应收账款、销售收入及其他相关科目等方法，</w:t>
      </w:r>
      <w:r>
        <w:rPr>
          <w:rFonts w:hint="eastAsia" w:ascii="仿宋_GB2312" w:hAnsi="宋体" w:eastAsia="仿宋_GB2312"/>
          <w:color w:val="000000" w:themeColor="text1"/>
          <w:sz w:val="32"/>
          <w:szCs w:val="32"/>
          <w14:textFill>
            <w14:solidFill>
              <w14:schemeClr w14:val="tx1"/>
            </w14:solidFill>
          </w14:textFill>
        </w:rPr>
        <w:t>复核相关的合同、出库单、验收单、发票、收款单等，核查收入确认依据的充分性，并关注是否存在第三方回款</w:t>
      </w:r>
      <w:r>
        <w:rPr>
          <w:rFonts w:hint="eastAsia" w:ascii="仿宋_GB2312" w:hAnsi="宋体" w:eastAsia="仿宋_GB2312"/>
          <w:color w:val="000000"/>
          <w:sz w:val="32"/>
          <w:szCs w:val="32"/>
        </w:rPr>
        <w:t>、以实物抵债、现金回款、个人卡回款或债权债务互抵的</w:t>
      </w:r>
      <w:r>
        <w:rPr>
          <w:rFonts w:hint="eastAsia" w:ascii="仿宋_GB2312" w:hAnsi="宋体" w:eastAsia="仿宋_GB2312"/>
          <w:color w:val="000000" w:themeColor="text1"/>
          <w:sz w:val="32"/>
          <w:szCs w:val="32"/>
          <w14:textFill>
            <w14:solidFill>
              <w14:schemeClr w14:val="tx1"/>
            </w14:solidFill>
          </w14:textFill>
        </w:rPr>
        <w:t>情形。选择抽样测试样本时关注如下情况：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1）会计期末集中确认收入的销售凭证；</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2）报告期内新增的主要客户；</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3）销售期后的回款情况，是否在正常的信用期之内，是否</w:t>
      </w:r>
      <w:r>
        <w:rPr>
          <w:rFonts w:hint="eastAsia" w:ascii="仿宋_GB2312" w:hAnsi="宋体" w:eastAsia="仿宋_GB2312"/>
          <w:color w:val="000000" w:themeColor="text1"/>
          <w:sz w:val="32"/>
          <w:szCs w:val="32"/>
          <w14:textFill>
            <w14:solidFill>
              <w14:schemeClr w14:val="tx1"/>
            </w14:solidFill>
          </w14:textFill>
        </w:rPr>
        <w:t>符合</w:t>
      </w:r>
      <w:r>
        <w:rPr>
          <w:rFonts w:ascii="仿宋_GB2312" w:hAnsi="宋体" w:eastAsia="仿宋_GB2312"/>
          <w:color w:val="000000" w:themeColor="text1"/>
          <w:sz w:val="32"/>
          <w:szCs w:val="32"/>
          <w14:textFill>
            <w14:solidFill>
              <w14:schemeClr w14:val="tx1"/>
            </w14:solidFill>
          </w14:textFill>
        </w:rPr>
        <w:t>行业惯例；</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4）期末收到销售款项是否存在期后不正常流出的情况</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5）单笔销售收入金额重大的销售记录</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6）报告期后冲回的大额销售。</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）销售收入的截止性测试</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对于按照履约进度确认</w:t>
      </w:r>
      <w:r>
        <w:rPr>
          <w:rFonts w:hint="eastAsia" w:ascii="仿宋_GB2312" w:hAnsi="宋体" w:eastAsia="仿宋_GB2312"/>
          <w:color w:val="000000" w:themeColor="text1"/>
          <w:sz w:val="32"/>
          <w:szCs w:val="32"/>
          <w14:textFill>
            <w14:solidFill>
              <w14:schemeClr w14:val="tx1"/>
            </w14:solidFill>
          </w14:textFill>
        </w:rPr>
        <w:t>收入的，结合销售相关内部控制流程、业务特点、履约进度的确认方式等</w:t>
      </w:r>
      <w:r>
        <w:rPr>
          <w:rFonts w:ascii="仿宋_GB2312" w:hAnsi="宋体" w:eastAsia="仿宋_GB2312"/>
          <w:color w:val="000000" w:themeColor="text1"/>
          <w:sz w:val="32"/>
          <w:szCs w:val="32"/>
          <w14:textFill>
            <w14:solidFill>
              <w14:schemeClr w14:val="tx1"/>
            </w14:solidFill>
          </w14:textFill>
        </w:rPr>
        <w:t>，核查履约进度确认的准确性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对于属于在某一时点履约的销售交易，关注报告期末商品</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控制权</w:t>
      </w:r>
      <w:r>
        <w:rPr>
          <w:rFonts w:hint="eastAsia" w:ascii="仿宋_GB2312" w:hAnsi="宋体" w:eastAsia="仿宋_GB2312"/>
          <w:color w:val="000000" w:themeColor="text1"/>
          <w:sz w:val="32"/>
          <w:szCs w:val="32"/>
          <w14:textFill>
            <w14:solidFill>
              <w14:schemeClr w14:val="tx1"/>
            </w14:solidFill>
          </w14:textFill>
        </w:rPr>
        <w:t>是否已经转移；结合销售合同条款、交易习惯等，核查是</w:t>
      </w:r>
      <w:r>
        <w:rPr>
          <w:rFonts w:ascii="仿宋_GB2312" w:hAnsi="宋体" w:eastAsia="仿宋_GB2312"/>
          <w:color w:val="000000" w:themeColor="text1"/>
          <w:sz w:val="32"/>
          <w:szCs w:val="32"/>
          <w14:textFill>
            <w14:solidFill>
              <w14:schemeClr w14:val="tx1"/>
            </w14:solidFill>
          </w14:textFill>
        </w:rPr>
        <w:t>否通过</w:t>
      </w:r>
      <w:r>
        <w:rPr>
          <w:rFonts w:hint="eastAsia" w:ascii="仿宋_GB2312" w:hAnsi="宋体" w:eastAsia="仿宋_GB2312"/>
          <w:color w:val="000000" w:themeColor="text1"/>
          <w:sz w:val="32"/>
          <w:szCs w:val="32"/>
          <w14:textFill>
            <w14:solidFill>
              <w14:schemeClr w14:val="tx1"/>
            </w14:solidFill>
          </w14:textFill>
        </w:rPr>
        <w:t>将单项履约义务</w:t>
      </w:r>
      <w:r>
        <w:rPr>
          <w:rFonts w:ascii="仿宋_GB2312" w:hAnsi="宋体" w:eastAsia="仿宋_GB2312"/>
          <w:color w:val="000000" w:themeColor="text1"/>
          <w:sz w:val="32"/>
          <w:szCs w:val="32"/>
          <w14:textFill>
            <w14:solidFill>
              <w14:schemeClr w14:val="tx1"/>
            </w14:solidFill>
          </w14:textFill>
        </w:rPr>
        <w:t>拆分为多项履约义务从而提前确认收入。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截止性测试需要结合发行人的收入确认政策，选取发行人资产负债表日前后若干天且金额大于一定金额以上的发运凭证、验收单等与收入确认相关的业务单据，与应收账款和销售收入明细账进行核对；同时，从应收账款和销售收入明细账选取在资产负债表日前后若干天且金额大于一定金额以上的凭证，与发运凭证、验收单等与收入确认相关的业务单据核对，以检查销售收入是否记录在恰当的会计期间。截止性测试中可参考如下因素：</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1）资产负债表日前后销售和发货水平，确定业务活动水平是否异常（如与正常水平相比），是否存在突击确认收入的迹象；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2）资产负债表日后的销售退回记录，检查是否存在提前确认收入的情况；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3）结合对资产负债表日应收账款和收入</w:t>
      </w:r>
      <w:r>
        <w:rPr>
          <w:rFonts w:hint="eastAsia" w:ascii="仿宋_GB2312" w:hAnsi="宋体" w:eastAsia="仿宋_GB2312"/>
          <w:color w:val="000000" w:themeColor="text1"/>
          <w:sz w:val="32"/>
          <w:szCs w:val="32"/>
          <w14:textFill>
            <w14:solidFill>
              <w14:schemeClr w14:val="tx1"/>
            </w14:solidFill>
          </w14:textFill>
        </w:rPr>
        <w:t>的函证程序，检查是否存在未取得对方认可的大额销售；</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4）对于重大跨期销售，收集并核查长期合同及其交易条款及对发行人销售的影响，核查</w:t>
      </w:r>
      <w:r>
        <w:rPr>
          <w:rFonts w:hint="eastAsia" w:ascii="仿宋_GB2312" w:hAnsi="宋体" w:eastAsia="仿宋_GB2312"/>
          <w:color w:val="000000" w:themeColor="text1"/>
          <w:sz w:val="32"/>
          <w:szCs w:val="32"/>
          <w14:textFill>
            <w14:solidFill>
              <w14:schemeClr w14:val="tx1"/>
            </w14:solidFill>
          </w14:textFill>
        </w:rPr>
        <w:t>履约进度是否准确，收入确认时间是否准确；</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5）核查发行人的验收单、发票和银行流水等是否真实且在所属期间。</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）其他需要关注方面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销售退回业务，通过访谈销售人员和财务人员的方式，了解一般情况下销售退回的比例和账务处理；核查销售退回的原因及相关手续是否符合规定，是否存在销售款项不正常流出；对于重大金额的销售退回，应当取得客户的书面确认文件，并考虑前期收入确认是否谨慎。</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检查发行人报告期内仍在履行的主要客户</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lang w:eastAsia="zh-CN"/>
          <w14:textFill>
            <w14:solidFill>
              <w14:schemeClr w14:val="tx1"/>
            </w14:solidFill>
          </w14:textFill>
        </w:rPr>
        <w:t>至少</w:t>
      </w:r>
      <w:r>
        <w:rPr>
          <w:rFonts w:hint="eastAsia" w:ascii="仿宋_GB2312" w:hAnsi="宋体" w:eastAsia="仿宋_GB2312"/>
          <w:color w:val="000000"/>
          <w:sz w:val="32"/>
          <w:szCs w:val="32"/>
        </w:rPr>
        <w:t>前十大客户</w:t>
      </w:r>
      <w:r>
        <w:rPr>
          <w:rFonts w:hint="eastAsia" w:ascii="仿宋_GB2312" w:hAnsi="宋体" w:eastAsia="仿宋_GB2312"/>
          <w:color w:val="000000" w:themeColor="text1"/>
          <w:sz w:val="32"/>
          <w:szCs w:val="32"/>
          <w14:textFill>
            <w14:solidFill>
              <w14:schemeClr w14:val="tx1"/>
            </w14:solidFill>
          </w14:textFill>
        </w:rPr>
        <w:t>或根据发行人具体情况确定的主要客户</w:t>
      </w:r>
      <w:r>
        <w:rPr>
          <w:rFonts w:ascii="仿宋_GB2312" w:hAnsi="宋体" w:eastAsia="仿宋_GB2312"/>
          <w:color w:val="000000" w:themeColor="text1"/>
          <w:sz w:val="32"/>
          <w:szCs w:val="32"/>
          <w14:textFill>
            <w14:solidFill>
              <w14:schemeClr w14:val="tx1"/>
            </w14:solidFill>
          </w14:textFill>
        </w:rPr>
        <w:t>)的销售合同，通过访谈发行人</w:t>
      </w:r>
      <w:r>
        <w:rPr>
          <w:rFonts w:hint="eastAsia" w:ascii="仿宋_GB2312" w:hAnsi="宋体" w:eastAsia="仿宋_GB2312"/>
          <w:color w:val="000000" w:themeColor="text1"/>
          <w:sz w:val="32"/>
          <w:szCs w:val="32"/>
          <w14:textFill>
            <w14:solidFill>
              <w14:schemeClr w14:val="tx1"/>
            </w14:solidFill>
          </w14:textFill>
        </w:rPr>
        <w:t>董监高</w:t>
      </w:r>
      <w:r>
        <w:rPr>
          <w:rFonts w:ascii="仿宋_GB2312" w:hAnsi="宋体" w:eastAsia="仿宋_GB2312"/>
          <w:color w:val="000000" w:themeColor="text1"/>
          <w:sz w:val="32"/>
          <w:szCs w:val="32"/>
          <w14:textFill>
            <w14:solidFill>
              <w14:schemeClr w14:val="tx1"/>
            </w14:solidFill>
          </w14:textFill>
        </w:rPr>
        <w:t>、律师</w:t>
      </w:r>
      <w:r>
        <w:rPr>
          <w:rFonts w:hint="eastAsia" w:ascii="仿宋_GB2312" w:hAnsi="宋体" w:eastAsia="仿宋_GB2312"/>
          <w:color w:val="000000" w:themeColor="text1"/>
          <w:sz w:val="32"/>
          <w:szCs w:val="32"/>
          <w14:textFill>
            <w14:solidFill>
              <w14:schemeClr w14:val="tx1"/>
            </w14:solidFill>
          </w14:textFill>
        </w:rPr>
        <w:t>或</w:t>
      </w:r>
      <w:r>
        <w:rPr>
          <w:rFonts w:ascii="仿宋_GB2312" w:hAnsi="宋体" w:eastAsia="仿宋_GB2312"/>
          <w:color w:val="000000" w:themeColor="text1"/>
          <w:sz w:val="32"/>
          <w:szCs w:val="32"/>
          <w14:textFill>
            <w14:solidFill>
              <w14:schemeClr w14:val="tx1"/>
            </w14:solidFill>
          </w14:textFill>
        </w:rPr>
        <w:t>发行人客户，了解是否存在重大合同纠纷。</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报告期主要客户销售收入回款清单、前十大应收账款期后回款清单，结合发行人收款政策、应收账款周转情况、现金流量情况，对发行人销售收入的回款情况进行分析，关注报告期应收账款增幅是否存在明显高于收入增幅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bookmarkStart w:id="87" w:name="_Toc475710404"/>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、几种特定情形下销售收入的尽调要点</w:t>
      </w:r>
      <w:bookmarkEnd w:id="87"/>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1）经销</w:t>
      </w:r>
      <w:r>
        <w:rPr>
          <w:rFonts w:hint="eastAsia" w:ascii="仿宋_GB2312" w:hAnsi="宋体" w:eastAsia="仿宋_GB2312"/>
          <w:color w:val="000000" w:themeColor="text1"/>
          <w:sz w:val="32"/>
          <w:szCs w:val="32"/>
          <w14:textFill>
            <w14:solidFill>
              <w14:schemeClr w14:val="tx1"/>
            </w14:solidFill>
          </w14:textFill>
        </w:rPr>
        <w:t>商模式下的收入尽调要点</w:t>
      </w:r>
    </w:p>
    <w:tbl>
      <w:tblPr>
        <w:tblStyle w:val="22"/>
        <w:tblW w:w="5000"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656"/>
        <w:gridCol w:w="687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285" w:hRule="atLeast"/>
          <w:tblHeader/>
          <w:jc w:val="center"/>
        </w:trPr>
        <w:tc>
          <w:tcPr>
            <w:tcW w:w="781" w:type="pct"/>
            <w:shd w:val="clear" w:color="auto" w:fill="D9D9D9"/>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主要目的</w:t>
            </w:r>
          </w:p>
        </w:tc>
        <w:tc>
          <w:tcPr>
            <w:tcW w:w="4219" w:type="pct"/>
            <w:shd w:val="clear" w:color="auto" w:fill="D9D9D9"/>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收入尽调要点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70" w:hRule="atLeast"/>
          <w:jc w:val="center"/>
        </w:trPr>
        <w:tc>
          <w:tcPr>
            <w:tcW w:w="781" w:type="pct"/>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了解内控是否完善</w:t>
            </w:r>
          </w:p>
        </w:tc>
        <w:tc>
          <w:tcPr>
            <w:tcW w:w="4219" w:type="pct"/>
            <w:shd w:val="clear" w:color="auto" w:fill="auto"/>
            <w:vAlign w:val="center"/>
          </w:tcPr>
          <w:p>
            <w:pPr>
              <w:widowControl/>
              <w:spacing w:line="360" w:lineRule="auto"/>
              <w:ind w:firstLine="360" w:firstLineChars="200"/>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取得发行人的经销商管理制度（包括结算制度、核算制度、返点制度、退货制度等</w:t>
            </w:r>
            <w:r>
              <w:rPr>
                <w:rFonts w:ascii="仿宋" w:hAnsi="仿宋" w:eastAsia="仿宋" w:cs="Arial"/>
                <w:color w:val="000000"/>
                <w:kern w:val="0"/>
                <w:sz w:val="18"/>
                <w:szCs w:val="18"/>
              </w:rPr>
              <w:t>)及经销商网络的组织结构图，作为经销商调查的起点。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70" w:hRule="atLeast"/>
          <w:jc w:val="center"/>
        </w:trPr>
        <w:tc>
          <w:tcPr>
            <w:tcW w:w="781" w:type="pct"/>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真实性</w:t>
            </w:r>
          </w:p>
        </w:tc>
        <w:tc>
          <w:tcPr>
            <w:tcW w:w="4219" w:type="pct"/>
            <w:shd w:val="clear" w:color="auto" w:fill="auto"/>
            <w:vAlign w:val="center"/>
          </w:tcPr>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1、了解采用经销商或加盟商模式的必要性、是否符合发行人自身的特点和行业惯例</w:t>
            </w:r>
            <w:r>
              <w:rPr>
                <w:rFonts w:hint="eastAsia" w:ascii="仿宋" w:hAnsi="仿宋" w:eastAsia="仿宋" w:cs="Arial"/>
                <w:color w:val="000000"/>
                <w:kern w:val="0"/>
                <w:sz w:val="18"/>
                <w:szCs w:val="18"/>
              </w:rPr>
              <w:t>；</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2、了解主要经销商或加盟商的定价机制、物流方式、退换货机制、信用政策、返利政策等，主要经销商或加盟商的资金实力、销售网络、所经销产品最终销售和回款情况，核查发行人的产品销售核算与经销商或加盟商的核算是否存在重大不符</w:t>
            </w:r>
            <w:r>
              <w:rPr>
                <w:rFonts w:hint="eastAsia" w:ascii="仿宋" w:hAnsi="仿宋" w:eastAsia="仿宋" w:cs="Arial"/>
                <w:color w:val="000000"/>
                <w:kern w:val="0"/>
                <w:sz w:val="18"/>
                <w:szCs w:val="18"/>
              </w:rPr>
              <w:t>；</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3、了解主要经销商或加盟商的布局合理性，经销商或加盟商存续情况以及对经销商或加盟商的管理方式</w:t>
            </w:r>
            <w:r>
              <w:rPr>
                <w:rFonts w:hint="eastAsia" w:ascii="仿宋" w:hAnsi="仿宋" w:eastAsia="仿宋" w:cs="Arial"/>
                <w:color w:val="000000"/>
                <w:kern w:val="0"/>
                <w:sz w:val="18"/>
                <w:szCs w:val="18"/>
              </w:rPr>
              <w:t>；</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4、核查主要经销商或加盟商的经营情况</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经销商或加盟商频繁开业及退出（如有）的原因和合理性</w:t>
            </w:r>
            <w:r>
              <w:rPr>
                <w:rFonts w:hint="eastAsia" w:ascii="仿宋" w:hAnsi="仿宋" w:eastAsia="仿宋" w:cs="Arial"/>
                <w:color w:val="000000"/>
                <w:kern w:val="0"/>
                <w:sz w:val="18"/>
                <w:szCs w:val="18"/>
              </w:rPr>
              <w:t>；</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5</w:t>
            </w:r>
            <w:r>
              <w:rPr>
                <w:rFonts w:hint="eastAsia" w:ascii="仿宋" w:hAnsi="仿宋" w:eastAsia="仿宋" w:cs="Arial"/>
                <w:color w:val="000000"/>
                <w:kern w:val="0"/>
                <w:sz w:val="18"/>
                <w:szCs w:val="18"/>
              </w:rPr>
              <w:t>、统计向经销商的销售收入、经销商数量的增减变化情况、新增经销商对发行人收入和利润的影响；核查经销商退出的比例及基本情况；</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6、</w:t>
            </w:r>
            <w:r>
              <w:rPr>
                <w:rFonts w:hint="eastAsia" w:ascii="仿宋" w:hAnsi="仿宋" w:eastAsia="仿宋" w:cs="Arial"/>
                <w:color w:val="000000"/>
                <w:kern w:val="0"/>
                <w:sz w:val="18"/>
                <w:szCs w:val="18"/>
              </w:rPr>
              <w:t>通过访谈管理层、销售人员或经销商，查阅</w:t>
            </w:r>
            <w:r>
              <w:rPr>
                <w:rFonts w:ascii="仿宋" w:hAnsi="仿宋" w:eastAsia="仿宋" w:cs="Arial"/>
                <w:color w:val="000000"/>
                <w:kern w:val="0"/>
                <w:sz w:val="18"/>
                <w:szCs w:val="18"/>
              </w:rPr>
              <w:t>销售合同</w:t>
            </w:r>
            <w:r>
              <w:rPr>
                <w:rFonts w:hint="eastAsia" w:ascii="仿宋" w:hAnsi="仿宋" w:eastAsia="仿宋" w:cs="Arial"/>
                <w:color w:val="000000"/>
                <w:kern w:val="0"/>
                <w:sz w:val="18"/>
                <w:szCs w:val="18"/>
              </w:rPr>
              <w:t>、结算单据等方式</w:t>
            </w:r>
            <w:r>
              <w:rPr>
                <w:rFonts w:ascii="仿宋" w:hAnsi="仿宋" w:eastAsia="仿宋" w:cs="Arial"/>
                <w:color w:val="000000"/>
                <w:kern w:val="0"/>
                <w:sz w:val="18"/>
                <w:szCs w:val="18"/>
              </w:rPr>
              <w:t>，</w:t>
            </w:r>
            <w:r>
              <w:rPr>
                <w:rFonts w:hint="eastAsia" w:ascii="仿宋" w:hAnsi="仿宋" w:eastAsia="仿宋" w:cs="Arial"/>
                <w:color w:val="000000"/>
                <w:kern w:val="0"/>
                <w:sz w:val="18"/>
                <w:szCs w:val="18"/>
              </w:rPr>
              <w:t>核查</w:t>
            </w:r>
            <w:r>
              <w:rPr>
                <w:rFonts w:ascii="仿宋" w:hAnsi="仿宋" w:eastAsia="仿宋" w:cs="Arial"/>
                <w:color w:val="000000"/>
                <w:kern w:val="0"/>
                <w:sz w:val="18"/>
                <w:szCs w:val="18"/>
              </w:rPr>
              <w:t>向经销商的销售是否为卖断式，关注转移商品所有权凭证或交付实物后，其</w:t>
            </w:r>
            <w:r>
              <w:rPr>
                <w:rFonts w:hint="eastAsia" w:ascii="仿宋" w:hAnsi="仿宋" w:eastAsia="仿宋" w:cs="Arial"/>
                <w:color w:val="000000"/>
                <w:kern w:val="0"/>
                <w:sz w:val="18"/>
                <w:szCs w:val="18"/>
              </w:rPr>
              <w:t>控制权</w:t>
            </w:r>
            <w:r>
              <w:rPr>
                <w:rFonts w:ascii="仿宋" w:hAnsi="仿宋" w:eastAsia="仿宋" w:cs="Arial"/>
                <w:color w:val="000000"/>
                <w:kern w:val="0"/>
                <w:sz w:val="18"/>
                <w:szCs w:val="18"/>
              </w:rPr>
              <w:t>是否转移；</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7</w:t>
            </w:r>
            <w:r>
              <w:rPr>
                <w:rFonts w:hint="eastAsia" w:ascii="仿宋" w:hAnsi="仿宋" w:eastAsia="仿宋" w:cs="Arial"/>
                <w:color w:val="000000"/>
                <w:kern w:val="0"/>
                <w:sz w:val="18"/>
                <w:szCs w:val="18"/>
              </w:rPr>
              <w:t>、核查经销商是否专营发行人产品，发行人主营产品的市场占有率情况；</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8</w:t>
            </w:r>
            <w:r>
              <w:rPr>
                <w:rFonts w:hint="eastAsia" w:ascii="仿宋" w:hAnsi="仿宋" w:eastAsia="仿宋" w:cs="Arial"/>
                <w:color w:val="000000"/>
                <w:kern w:val="0"/>
                <w:sz w:val="18"/>
                <w:szCs w:val="18"/>
              </w:rPr>
              <w:t>、核查经销商的退换货政策，退换货的品种、数量、金额、会计处理和后续处理；</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9</w:t>
            </w:r>
            <w:r>
              <w:rPr>
                <w:rFonts w:hint="eastAsia" w:ascii="仿宋" w:hAnsi="仿宋" w:eastAsia="仿宋" w:cs="Arial"/>
                <w:color w:val="000000"/>
                <w:kern w:val="0"/>
                <w:sz w:val="18"/>
                <w:szCs w:val="18"/>
              </w:rPr>
              <w:t>、采取合理和恰当的手段对终端客户走访和尽调，以核实收入的最终实现情况。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585" w:hRule="atLeast"/>
          <w:jc w:val="center"/>
        </w:trPr>
        <w:tc>
          <w:tcPr>
            <w:tcW w:w="781" w:type="pct"/>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关联关系</w:t>
            </w:r>
          </w:p>
        </w:tc>
        <w:tc>
          <w:tcPr>
            <w:tcW w:w="4219" w:type="pct"/>
            <w:shd w:val="clear" w:color="auto" w:fill="auto"/>
            <w:vAlign w:val="center"/>
          </w:tcPr>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1、核查发行人主要经销商与公司董监高、其他核心人员及持有公司5%以上股份股东是否存在关联关系；</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2、</w:t>
            </w:r>
            <w:r>
              <w:rPr>
                <w:rFonts w:hint="eastAsia" w:ascii="仿宋" w:hAnsi="仿宋" w:eastAsia="仿宋" w:cs="Arial"/>
                <w:color w:val="000000"/>
                <w:kern w:val="0"/>
                <w:sz w:val="18"/>
                <w:szCs w:val="18"/>
              </w:rPr>
              <w:t>查阅主要或交易异常等</w:t>
            </w:r>
            <w:r>
              <w:rPr>
                <w:rFonts w:ascii="仿宋" w:hAnsi="仿宋" w:eastAsia="仿宋" w:cs="Arial"/>
                <w:color w:val="000000"/>
                <w:kern w:val="0"/>
                <w:sz w:val="18"/>
                <w:szCs w:val="18"/>
              </w:rPr>
              <w:t>经销商</w:t>
            </w:r>
            <w:r>
              <w:rPr>
                <w:rFonts w:hint="eastAsia" w:ascii="仿宋" w:hAnsi="仿宋" w:eastAsia="仿宋" w:cs="Arial"/>
                <w:color w:val="000000"/>
                <w:kern w:val="0"/>
                <w:sz w:val="18"/>
                <w:szCs w:val="18"/>
              </w:rPr>
              <w:t>的</w:t>
            </w:r>
            <w:r>
              <w:rPr>
                <w:rFonts w:ascii="仿宋" w:hAnsi="仿宋" w:eastAsia="仿宋" w:cs="Arial"/>
                <w:color w:val="000000"/>
                <w:kern w:val="0"/>
                <w:sz w:val="18"/>
                <w:szCs w:val="18"/>
              </w:rPr>
              <w:t>工商</w:t>
            </w:r>
            <w:r>
              <w:rPr>
                <w:rFonts w:hint="eastAsia" w:ascii="仿宋" w:hAnsi="仿宋" w:eastAsia="仿宋" w:cs="Arial"/>
                <w:color w:val="000000"/>
                <w:kern w:val="0"/>
                <w:sz w:val="18"/>
                <w:szCs w:val="18"/>
              </w:rPr>
              <w:t>登记资料，</w:t>
            </w:r>
            <w:r>
              <w:rPr>
                <w:rFonts w:ascii="仿宋" w:hAnsi="仿宋" w:eastAsia="仿宋" w:cs="Arial"/>
                <w:color w:val="000000"/>
                <w:kern w:val="0"/>
                <w:sz w:val="18"/>
                <w:szCs w:val="18"/>
              </w:rPr>
              <w:t>核查是否</w:t>
            </w:r>
            <w:r>
              <w:rPr>
                <w:rFonts w:hint="eastAsia" w:ascii="仿宋" w:hAnsi="仿宋" w:eastAsia="仿宋" w:cs="Arial"/>
                <w:color w:val="000000"/>
                <w:kern w:val="0"/>
                <w:sz w:val="18"/>
                <w:szCs w:val="18"/>
              </w:rPr>
              <w:t>与发行人及其主要关联方存在关联关系；</w:t>
            </w:r>
          </w:p>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ascii="仿宋" w:hAnsi="仿宋" w:eastAsia="仿宋" w:cs="Arial"/>
                <w:color w:val="000000"/>
                <w:kern w:val="0"/>
                <w:sz w:val="18"/>
                <w:szCs w:val="18"/>
              </w:rPr>
              <w:t>3、对于</w:t>
            </w:r>
            <w:r>
              <w:rPr>
                <w:rFonts w:hint="eastAsia" w:ascii="仿宋" w:hAnsi="仿宋" w:eastAsia="仿宋" w:cs="Arial"/>
                <w:color w:val="000000"/>
                <w:kern w:val="0"/>
                <w:sz w:val="18"/>
                <w:szCs w:val="18"/>
              </w:rPr>
              <w:t>主要、交易异常或</w:t>
            </w:r>
            <w:r>
              <w:rPr>
                <w:rFonts w:ascii="仿宋" w:hAnsi="仿宋" w:eastAsia="仿宋" w:cs="Arial"/>
                <w:color w:val="000000"/>
                <w:kern w:val="0"/>
                <w:sz w:val="18"/>
                <w:szCs w:val="18"/>
              </w:rPr>
              <w:t>存在潜在关联关系的经销商进行走访。</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300" w:hRule="atLeast"/>
          <w:jc w:val="center"/>
        </w:trPr>
        <w:tc>
          <w:tcPr>
            <w:tcW w:w="781" w:type="pct"/>
            <w:vMerge w:val="restart"/>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其他</w:t>
            </w:r>
          </w:p>
        </w:tc>
        <w:tc>
          <w:tcPr>
            <w:tcW w:w="4219" w:type="pct"/>
            <w:shd w:val="clear" w:color="auto" w:fill="auto"/>
            <w:vAlign w:val="center"/>
          </w:tcPr>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核查并具体的结算方式，是否存在个人账户收款或现金收款的情形。</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0" w:hRule="atLeast"/>
          <w:jc w:val="center"/>
        </w:trPr>
        <w:tc>
          <w:tcPr>
            <w:tcW w:w="781" w:type="pct"/>
            <w:vMerge w:val="continue"/>
            <w:vAlign w:val="center"/>
          </w:tcPr>
          <w:p>
            <w:pPr>
              <w:widowControl/>
              <w:spacing w:line="360" w:lineRule="auto"/>
              <w:jc w:val="left"/>
              <w:rPr>
                <w:rFonts w:ascii="仿宋" w:hAnsi="仿宋" w:eastAsia="仿宋" w:cs="宋体"/>
                <w:color w:val="000000"/>
                <w:kern w:val="0"/>
                <w:sz w:val="18"/>
                <w:szCs w:val="18"/>
              </w:rPr>
            </w:pPr>
          </w:p>
        </w:tc>
        <w:tc>
          <w:tcPr>
            <w:tcW w:w="4219" w:type="pct"/>
            <w:shd w:val="clear" w:color="auto" w:fill="auto"/>
            <w:vAlign w:val="center"/>
          </w:tcPr>
          <w:p>
            <w:pPr>
              <w:widowControl/>
              <w:adjustRightInd w:val="0"/>
              <w:snapToGrid w:val="0"/>
              <w:spacing w:line="360" w:lineRule="auto"/>
              <w:ind w:firstLine="360" w:firstLineChars="200"/>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经销商返点的会计处理是否符合会计准则的规定。</w:t>
            </w:r>
          </w:p>
        </w:tc>
      </w:tr>
    </w:tbl>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2）采用</w:t>
      </w:r>
      <w:r>
        <w:rPr>
          <w:rFonts w:hint="eastAsia" w:ascii="仿宋_GB2312" w:hAnsi="宋体" w:eastAsia="仿宋_GB2312"/>
          <w:color w:val="000000" w:themeColor="text1"/>
          <w:sz w:val="32"/>
          <w:szCs w:val="32"/>
          <w14:textFill>
            <w14:solidFill>
              <w14:schemeClr w14:val="tx1"/>
            </w14:solidFill>
          </w14:textFill>
        </w:rPr>
        <w:t>按履约进度确认收入的尽调要点</w:t>
      </w:r>
    </w:p>
    <w:p>
      <w:pPr>
        <w:adjustRightInd w:val="0"/>
        <w:snapToGrid w:val="0"/>
        <w:spacing w:line="360" w:lineRule="auto"/>
        <w:ind w:left="105" w:leftChars="50" w:firstLine="480" w:firstLineChars="15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发行人按照履约进度确认收入的，通过检查发行人的内部控制度完善情况和有效性，查阅销售合同、结算单据等方式，核查收入的核算是否准确。</w:t>
      </w:r>
    </w:p>
    <w:tbl>
      <w:tblPr>
        <w:tblStyle w:val="22"/>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433"/>
        <w:gridCol w:w="708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285" w:hRule="atLeast"/>
          <w:tblHeader/>
          <w:jc w:val="center"/>
        </w:trPr>
        <w:tc>
          <w:tcPr>
            <w:tcW w:w="1433" w:type="dxa"/>
            <w:shd w:val="clear" w:color="auto" w:fill="D9D9D9"/>
            <w:noWrap/>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主要目的</w:t>
            </w:r>
          </w:p>
        </w:tc>
        <w:tc>
          <w:tcPr>
            <w:tcW w:w="7087" w:type="dxa"/>
            <w:shd w:val="clear" w:color="auto" w:fill="D9D9D9"/>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尽调要点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285" w:hRule="atLeast"/>
          <w:jc w:val="center"/>
        </w:trPr>
        <w:tc>
          <w:tcPr>
            <w:tcW w:w="1433" w:type="dxa"/>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适用条件</w:t>
            </w:r>
          </w:p>
        </w:tc>
        <w:tc>
          <w:tcPr>
            <w:tcW w:w="7087" w:type="dxa"/>
            <w:shd w:val="clear" w:color="auto" w:fill="auto"/>
            <w:vAlign w:val="center"/>
          </w:tcPr>
          <w:p>
            <w:pPr>
              <w:widowControl/>
              <w:spacing w:line="360" w:lineRule="auto"/>
              <w:ind w:firstLine="360" w:firstLineChars="200"/>
              <w:jc w:val="left"/>
              <w:rPr>
                <w:rFonts w:ascii="仿宋" w:hAnsi="仿宋" w:eastAsia="仿宋" w:cs="宋体"/>
                <w:b/>
                <w:color w:val="000000"/>
                <w:kern w:val="0"/>
                <w:szCs w:val="21"/>
              </w:rPr>
            </w:pPr>
            <w:r>
              <w:rPr>
                <w:rFonts w:ascii="仿宋" w:hAnsi="仿宋" w:eastAsia="仿宋" w:cs="宋体"/>
                <w:color w:val="000000"/>
                <w:kern w:val="0"/>
                <w:sz w:val="18"/>
                <w:szCs w:val="18"/>
              </w:rPr>
              <w:t>结合发行人的业务模式</w:t>
            </w:r>
            <w:r>
              <w:rPr>
                <w:rFonts w:hint="eastAsia" w:ascii="仿宋" w:hAnsi="仿宋" w:eastAsia="仿宋" w:cs="宋体"/>
                <w:color w:val="000000"/>
                <w:kern w:val="0"/>
                <w:sz w:val="18"/>
                <w:szCs w:val="18"/>
              </w:rPr>
              <w:t>、合同条款、同行业上市公司的会计处理方式以及会计准则等，判断发行人的合同履约义务是否属于某一时段内履行的履约义务。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285" w:hRule="atLeast"/>
          <w:jc w:val="center"/>
        </w:trPr>
        <w:tc>
          <w:tcPr>
            <w:tcW w:w="1433" w:type="dxa"/>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内控体系是否完善的评估</w:t>
            </w:r>
          </w:p>
        </w:tc>
        <w:tc>
          <w:tcPr>
            <w:tcW w:w="7087" w:type="dxa"/>
            <w:shd w:val="clear" w:color="auto" w:fill="auto"/>
            <w:vAlign w:val="center"/>
          </w:tcPr>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1、核查发行人</w:t>
            </w:r>
            <w:r>
              <w:rPr>
                <w:rFonts w:hint="eastAsia" w:ascii="仿宋" w:hAnsi="仿宋" w:eastAsia="仿宋" w:cs="Arial"/>
                <w:color w:val="000000"/>
                <w:kern w:val="0"/>
                <w:sz w:val="18"/>
                <w:szCs w:val="18"/>
              </w:rPr>
              <w:t>的履约</w:t>
            </w:r>
            <w:r>
              <w:rPr>
                <w:rFonts w:ascii="仿宋" w:hAnsi="仿宋" w:eastAsia="仿宋" w:cs="Arial"/>
                <w:color w:val="000000"/>
                <w:kern w:val="0"/>
                <w:sz w:val="18"/>
                <w:szCs w:val="18"/>
              </w:rPr>
              <w:t>进度确认是否建立了</w:t>
            </w:r>
            <w:r>
              <w:rPr>
                <w:rFonts w:hint="eastAsia" w:ascii="仿宋" w:hAnsi="仿宋" w:eastAsia="仿宋" w:cs="Arial"/>
                <w:color w:val="000000"/>
                <w:kern w:val="0"/>
                <w:sz w:val="18"/>
                <w:szCs w:val="18"/>
              </w:rPr>
              <w:t>相应</w:t>
            </w:r>
            <w:r>
              <w:rPr>
                <w:rFonts w:ascii="仿宋" w:hAnsi="仿宋" w:eastAsia="仿宋" w:cs="Arial"/>
                <w:color w:val="000000"/>
                <w:kern w:val="0"/>
                <w:sz w:val="18"/>
                <w:szCs w:val="18"/>
              </w:rPr>
              <w:t>的</w:t>
            </w:r>
            <w:r>
              <w:rPr>
                <w:rFonts w:hint="eastAsia" w:ascii="仿宋" w:hAnsi="仿宋" w:eastAsia="仿宋" w:cs="Arial"/>
                <w:color w:val="000000"/>
                <w:kern w:val="0"/>
                <w:sz w:val="18"/>
                <w:szCs w:val="18"/>
              </w:rPr>
              <w:t>内部控制制度</w:t>
            </w:r>
            <w:r>
              <w:rPr>
                <w:rFonts w:ascii="仿宋" w:hAnsi="仿宋" w:eastAsia="仿宋" w:cs="Arial"/>
                <w:color w:val="000000"/>
                <w:kern w:val="0"/>
                <w:sz w:val="18"/>
                <w:szCs w:val="18"/>
              </w:rPr>
              <w:t>，</w:t>
            </w:r>
            <w:r>
              <w:rPr>
                <w:rFonts w:hint="eastAsia" w:ascii="仿宋" w:hAnsi="仿宋" w:eastAsia="仿宋" w:cs="Arial"/>
                <w:color w:val="000000"/>
                <w:kern w:val="0"/>
                <w:sz w:val="18"/>
                <w:szCs w:val="18"/>
              </w:rPr>
              <w:t>如，履约</w:t>
            </w:r>
            <w:r>
              <w:rPr>
                <w:rFonts w:ascii="仿宋" w:hAnsi="仿宋" w:eastAsia="仿宋" w:cs="Arial"/>
                <w:color w:val="000000"/>
                <w:kern w:val="0"/>
                <w:sz w:val="18"/>
                <w:szCs w:val="18"/>
              </w:rPr>
              <w:t>进度的确认</w:t>
            </w:r>
            <w:r>
              <w:rPr>
                <w:rFonts w:hint="eastAsia" w:ascii="仿宋" w:hAnsi="仿宋" w:eastAsia="仿宋" w:cs="Arial"/>
                <w:color w:val="000000"/>
                <w:kern w:val="0"/>
                <w:sz w:val="18"/>
                <w:szCs w:val="18"/>
              </w:rPr>
              <w:t>方式及</w:t>
            </w:r>
            <w:r>
              <w:rPr>
                <w:rFonts w:ascii="仿宋" w:hAnsi="仿宋" w:eastAsia="仿宋" w:cs="Arial"/>
                <w:color w:val="000000"/>
                <w:kern w:val="0"/>
                <w:sz w:val="18"/>
                <w:szCs w:val="18"/>
              </w:rPr>
              <w:t>在报告期</w:t>
            </w:r>
            <w:r>
              <w:rPr>
                <w:rFonts w:hint="eastAsia" w:ascii="仿宋" w:hAnsi="仿宋" w:eastAsia="仿宋" w:cs="Arial"/>
                <w:color w:val="000000"/>
                <w:kern w:val="0"/>
                <w:sz w:val="18"/>
                <w:szCs w:val="18"/>
              </w:rPr>
              <w:t>是否</w:t>
            </w:r>
            <w:r>
              <w:rPr>
                <w:rFonts w:ascii="仿宋" w:hAnsi="仿宋" w:eastAsia="仿宋" w:cs="Arial"/>
                <w:color w:val="000000"/>
                <w:kern w:val="0"/>
                <w:sz w:val="18"/>
                <w:szCs w:val="18"/>
              </w:rPr>
              <w:t>得到一贯执行</w:t>
            </w:r>
            <w:r>
              <w:rPr>
                <w:rFonts w:hint="eastAsia" w:ascii="仿宋" w:hAnsi="仿宋" w:eastAsia="仿宋" w:cs="Arial"/>
                <w:color w:val="000000"/>
                <w:kern w:val="0"/>
                <w:sz w:val="18"/>
                <w:szCs w:val="18"/>
              </w:rPr>
              <w:t>，履约</w:t>
            </w:r>
            <w:r>
              <w:rPr>
                <w:rFonts w:ascii="仿宋" w:hAnsi="仿宋" w:eastAsia="仿宋" w:cs="Arial"/>
                <w:color w:val="000000"/>
                <w:kern w:val="0"/>
                <w:sz w:val="18"/>
                <w:szCs w:val="18"/>
              </w:rPr>
              <w:t>进度的确认依据</w:t>
            </w:r>
            <w:r>
              <w:rPr>
                <w:rFonts w:hint="eastAsia" w:ascii="仿宋" w:hAnsi="仿宋" w:eastAsia="仿宋" w:cs="Arial"/>
                <w:color w:val="000000"/>
                <w:kern w:val="0"/>
                <w:sz w:val="18"/>
                <w:szCs w:val="18"/>
              </w:rPr>
              <w:t>和合理性以及是否</w:t>
            </w:r>
            <w:r>
              <w:rPr>
                <w:rFonts w:ascii="仿宋" w:hAnsi="仿宋" w:eastAsia="仿宋" w:cs="Arial"/>
                <w:color w:val="000000"/>
                <w:kern w:val="0"/>
                <w:sz w:val="18"/>
                <w:szCs w:val="18"/>
              </w:rPr>
              <w:t>有第三方或客户</w:t>
            </w:r>
            <w:r>
              <w:rPr>
                <w:rFonts w:hint="eastAsia" w:ascii="仿宋" w:hAnsi="仿宋" w:eastAsia="仿宋" w:cs="Arial"/>
                <w:color w:val="000000"/>
                <w:kern w:val="0"/>
                <w:sz w:val="18"/>
                <w:szCs w:val="18"/>
              </w:rPr>
              <w:t>等</w:t>
            </w:r>
            <w:r>
              <w:rPr>
                <w:rFonts w:ascii="仿宋" w:hAnsi="仿宋" w:eastAsia="仿宋" w:cs="Arial"/>
                <w:color w:val="000000"/>
                <w:kern w:val="0"/>
                <w:sz w:val="18"/>
                <w:szCs w:val="18"/>
              </w:rPr>
              <w:t>外部证据支持；</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2、核查</w:t>
            </w:r>
            <w:r>
              <w:rPr>
                <w:rFonts w:hint="eastAsia" w:ascii="仿宋" w:hAnsi="仿宋" w:eastAsia="仿宋" w:cs="Arial"/>
                <w:color w:val="000000"/>
                <w:kern w:val="0"/>
                <w:sz w:val="18"/>
                <w:szCs w:val="18"/>
              </w:rPr>
              <w:t>发行人</w:t>
            </w:r>
            <w:r>
              <w:rPr>
                <w:rFonts w:ascii="仿宋" w:hAnsi="仿宋" w:eastAsia="仿宋" w:cs="Arial"/>
                <w:color w:val="000000"/>
                <w:kern w:val="0"/>
                <w:sz w:val="18"/>
                <w:szCs w:val="18"/>
              </w:rPr>
              <w:t>与</w:t>
            </w:r>
            <w:r>
              <w:rPr>
                <w:rFonts w:hint="eastAsia" w:ascii="仿宋" w:hAnsi="仿宋" w:eastAsia="仿宋" w:cs="Arial"/>
                <w:color w:val="000000"/>
                <w:kern w:val="0"/>
                <w:sz w:val="18"/>
                <w:szCs w:val="18"/>
              </w:rPr>
              <w:t>客户</w:t>
            </w:r>
            <w:r>
              <w:rPr>
                <w:rFonts w:ascii="仿宋" w:hAnsi="仿宋" w:eastAsia="仿宋" w:cs="Arial"/>
                <w:color w:val="000000"/>
                <w:kern w:val="0"/>
                <w:sz w:val="18"/>
                <w:szCs w:val="18"/>
              </w:rPr>
              <w:t>之间关于</w:t>
            </w:r>
            <w:r>
              <w:rPr>
                <w:rFonts w:hint="eastAsia" w:ascii="仿宋" w:hAnsi="仿宋" w:eastAsia="仿宋" w:cs="Arial"/>
                <w:color w:val="000000"/>
                <w:kern w:val="0"/>
                <w:sz w:val="18"/>
                <w:szCs w:val="18"/>
              </w:rPr>
              <w:t>履约</w:t>
            </w:r>
            <w:r>
              <w:rPr>
                <w:rFonts w:ascii="仿宋" w:hAnsi="仿宋" w:eastAsia="仿宋" w:cs="Arial"/>
                <w:color w:val="000000"/>
                <w:kern w:val="0"/>
                <w:sz w:val="18"/>
                <w:szCs w:val="18"/>
              </w:rPr>
              <w:t>进度及付款安排是否符合</w:t>
            </w:r>
            <w:r>
              <w:rPr>
                <w:rFonts w:hint="eastAsia" w:ascii="仿宋" w:hAnsi="仿宋" w:eastAsia="仿宋" w:cs="Arial"/>
                <w:color w:val="000000"/>
                <w:kern w:val="0"/>
                <w:sz w:val="18"/>
                <w:szCs w:val="18"/>
              </w:rPr>
              <w:t>合同或协议的</w:t>
            </w:r>
            <w:r>
              <w:rPr>
                <w:rFonts w:ascii="仿宋" w:hAnsi="仿宋" w:eastAsia="仿宋" w:cs="Arial"/>
                <w:color w:val="000000"/>
                <w:kern w:val="0"/>
                <w:sz w:val="18"/>
                <w:szCs w:val="18"/>
              </w:rPr>
              <w:t>约定；</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3、了解发行人成本归集的内容和方法</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关注预计总成本和预计毛利率的确定依据以及</w:t>
            </w:r>
            <w:r>
              <w:rPr>
                <w:rFonts w:hint="eastAsia" w:ascii="仿宋" w:hAnsi="仿宋" w:eastAsia="仿宋" w:cs="Arial"/>
                <w:color w:val="000000"/>
                <w:kern w:val="0"/>
                <w:sz w:val="18"/>
                <w:szCs w:val="18"/>
              </w:rPr>
              <w:t>历史期间的</w:t>
            </w:r>
            <w:r>
              <w:rPr>
                <w:rFonts w:ascii="仿宋" w:hAnsi="仿宋" w:eastAsia="仿宋" w:cs="Arial"/>
                <w:color w:val="000000"/>
                <w:kern w:val="0"/>
                <w:sz w:val="18"/>
                <w:szCs w:val="18"/>
              </w:rPr>
              <w:t>预计</w:t>
            </w:r>
            <w:r>
              <w:rPr>
                <w:rFonts w:hint="eastAsia" w:ascii="仿宋" w:hAnsi="仿宋" w:eastAsia="仿宋" w:cs="Arial"/>
                <w:color w:val="000000"/>
                <w:kern w:val="0"/>
                <w:sz w:val="18"/>
                <w:szCs w:val="18"/>
              </w:rPr>
              <w:t>总成本是</w:t>
            </w:r>
            <w:r>
              <w:rPr>
                <w:rFonts w:ascii="仿宋" w:hAnsi="仿宋" w:eastAsia="仿宋" w:cs="Arial"/>
                <w:color w:val="000000"/>
                <w:kern w:val="0"/>
                <w:sz w:val="18"/>
                <w:szCs w:val="18"/>
              </w:rPr>
              <w:t>否合理恰当；将预计总成本与成本预算进行核对，对于存在重大变化的，核查预计总成本的合理性</w:t>
            </w:r>
            <w:r>
              <w:rPr>
                <w:rFonts w:hint="eastAsia" w:ascii="仿宋" w:hAnsi="仿宋" w:eastAsia="仿宋" w:cs="Arial"/>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59" w:hRule="atLeast"/>
          <w:jc w:val="center"/>
        </w:trPr>
        <w:tc>
          <w:tcPr>
            <w:tcW w:w="1433" w:type="dxa"/>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收入的真实、准确</w:t>
            </w:r>
          </w:p>
        </w:tc>
        <w:tc>
          <w:tcPr>
            <w:tcW w:w="7087" w:type="dxa"/>
            <w:shd w:val="clear" w:color="auto" w:fill="auto"/>
            <w:vAlign w:val="center"/>
          </w:tcPr>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1、合同收入包括合同的初始收入和因合同变更、索赔、奖励等形成的追加收入两部分</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核查合同收入</w:t>
            </w:r>
            <w:r>
              <w:rPr>
                <w:rFonts w:hint="eastAsia" w:ascii="仿宋" w:hAnsi="仿宋" w:eastAsia="仿宋" w:cs="Arial"/>
                <w:color w:val="000000"/>
                <w:kern w:val="0"/>
                <w:sz w:val="18"/>
                <w:szCs w:val="18"/>
              </w:rPr>
              <w:t>的处理</w:t>
            </w:r>
            <w:r>
              <w:rPr>
                <w:rFonts w:ascii="仿宋" w:hAnsi="仿宋" w:eastAsia="仿宋" w:cs="Arial"/>
                <w:color w:val="000000"/>
                <w:kern w:val="0"/>
                <w:sz w:val="18"/>
                <w:szCs w:val="18"/>
              </w:rPr>
              <w:t>是否满足会计准则的相关条件，及</w:t>
            </w:r>
            <w:r>
              <w:rPr>
                <w:rFonts w:hint="eastAsia" w:ascii="仿宋" w:hAnsi="仿宋" w:eastAsia="仿宋" w:cs="Arial"/>
                <w:color w:val="000000"/>
                <w:kern w:val="0"/>
                <w:sz w:val="18"/>
                <w:szCs w:val="18"/>
              </w:rPr>
              <w:t>合同变更</w:t>
            </w:r>
            <w:r>
              <w:rPr>
                <w:rFonts w:ascii="仿宋" w:hAnsi="仿宋" w:eastAsia="仿宋" w:cs="Arial"/>
                <w:color w:val="000000"/>
                <w:kern w:val="0"/>
                <w:sz w:val="18"/>
                <w:szCs w:val="18"/>
              </w:rPr>
              <w:t>是否经过适当审批；</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2、分析收入与经营性现金流净额是否匹配，</w:t>
            </w:r>
            <w:r>
              <w:rPr>
                <w:rFonts w:hint="eastAsia" w:ascii="仿宋" w:hAnsi="仿宋" w:eastAsia="仿宋" w:cs="Arial"/>
                <w:color w:val="000000"/>
                <w:kern w:val="0"/>
                <w:sz w:val="18"/>
                <w:szCs w:val="18"/>
              </w:rPr>
              <w:t>结合</w:t>
            </w:r>
            <w:r>
              <w:rPr>
                <w:rFonts w:ascii="仿宋" w:hAnsi="仿宋" w:eastAsia="仿宋" w:cs="Arial"/>
                <w:color w:val="000000"/>
                <w:kern w:val="0"/>
                <w:sz w:val="18"/>
                <w:szCs w:val="18"/>
              </w:rPr>
              <w:t>结算进度</w:t>
            </w:r>
            <w:r>
              <w:rPr>
                <w:rFonts w:hint="eastAsia" w:ascii="仿宋" w:hAnsi="仿宋" w:eastAsia="仿宋" w:cs="Arial"/>
                <w:color w:val="000000"/>
                <w:kern w:val="0"/>
                <w:sz w:val="18"/>
                <w:szCs w:val="18"/>
              </w:rPr>
              <w:t>分析履约进度是否合理；根据发行人的业务特点、内部控制制度有效性、客户特点及分布情况等，查阅主要项目或异常项目的合同、结算凭据、监理报告等资料，核查履约进度确认依据的合理性和充分性，收入、成本核算是否准确，结算进度是否符合合同约定，是否存在利用履约进度调节利润的情形；</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3、</w:t>
            </w:r>
            <w:r>
              <w:rPr>
                <w:rFonts w:hint="eastAsia" w:ascii="仿宋" w:hAnsi="仿宋" w:eastAsia="仿宋" w:cs="Arial"/>
                <w:color w:val="000000"/>
                <w:kern w:val="0"/>
                <w:sz w:val="18"/>
                <w:szCs w:val="18"/>
              </w:rPr>
              <w:t>结合</w:t>
            </w:r>
            <w:r>
              <w:rPr>
                <w:rFonts w:ascii="仿宋" w:hAnsi="仿宋" w:eastAsia="仿宋" w:cs="Arial"/>
                <w:color w:val="000000"/>
                <w:kern w:val="0"/>
                <w:sz w:val="18"/>
                <w:szCs w:val="18"/>
              </w:rPr>
              <w:t>收入与其他科目之间的勾</w:t>
            </w:r>
            <w:r>
              <w:rPr>
                <w:rFonts w:hint="eastAsia" w:ascii="仿宋" w:hAnsi="仿宋" w:eastAsia="仿宋" w:cs="Arial"/>
                <w:color w:val="000000"/>
                <w:kern w:val="0"/>
                <w:sz w:val="18"/>
                <w:szCs w:val="18"/>
              </w:rPr>
              <w:t>稽关系是否异常，如通过应收账款、合同资产、经营性现金流等分析发行人的收入质量。</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rHeight w:val="810" w:hRule="atLeast"/>
          <w:jc w:val="center"/>
        </w:trPr>
        <w:tc>
          <w:tcPr>
            <w:tcW w:w="1433" w:type="dxa"/>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可持续盈利能力</w:t>
            </w:r>
          </w:p>
        </w:tc>
        <w:tc>
          <w:tcPr>
            <w:tcW w:w="7087" w:type="dxa"/>
            <w:shd w:val="clear" w:color="auto" w:fill="auto"/>
            <w:vAlign w:val="center"/>
          </w:tcPr>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1、核查发行人已取得但是尚未执行完毕的合同情况，预计未来的经济利益流入；</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2、获取发行人已中标但是尚未开工的合同情况，预计每年带来的收入，判断其业务的可持续性。</w:t>
            </w:r>
          </w:p>
        </w:tc>
      </w:tr>
    </w:tbl>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）出口收入的尽调要点</w:t>
      </w:r>
    </w:p>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发行人境外销售收入金额较大或占比较高的，了解发行人境外销售主要地区的贸易政策、销售模式、获取订单的方式、外贸交易条款，分析其对境外销售收入真实性和准确性的影响</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结合海关出口数据、出口退税金额、物流运输记录、发货验收单据、中国出口信用保险公司数据等，核查是否与发行人境外销售收入相匹配；</w:t>
      </w:r>
      <w:r>
        <w:rPr>
          <w:rFonts w:hint="eastAsia" w:ascii="仿宋_GB2312" w:hAnsi="宋体" w:eastAsia="仿宋_GB2312"/>
          <w:color w:val="000000" w:themeColor="text1"/>
          <w:sz w:val="32"/>
          <w:szCs w:val="32"/>
          <w14:textFill>
            <w14:solidFill>
              <w14:schemeClr w14:val="tx1"/>
            </w14:solidFill>
          </w14:textFill>
        </w:rPr>
        <w:t>对比</w:t>
      </w:r>
      <w:r>
        <w:rPr>
          <w:rFonts w:ascii="仿宋_GB2312" w:hAnsi="宋体" w:eastAsia="仿宋_GB2312"/>
          <w:color w:val="000000" w:themeColor="text1"/>
          <w:sz w:val="32"/>
          <w:szCs w:val="32"/>
          <w14:textFill>
            <w14:solidFill>
              <w14:schemeClr w14:val="tx1"/>
            </w14:solidFill>
          </w14:textFill>
        </w:rPr>
        <w:t>分析相同或同类产品在境内</w:t>
      </w:r>
      <w:r>
        <w:rPr>
          <w:rFonts w:hint="eastAsia" w:ascii="仿宋_GB2312" w:hAnsi="宋体" w:eastAsia="仿宋_GB2312"/>
          <w:color w:val="000000" w:themeColor="text1"/>
          <w:sz w:val="32"/>
          <w:szCs w:val="32"/>
          <w14:textFill>
            <w14:solidFill>
              <w14:schemeClr w14:val="tx1"/>
            </w14:solidFill>
          </w14:textFill>
        </w:rPr>
        <w:t>、境</w:t>
      </w:r>
      <w:r>
        <w:rPr>
          <w:rFonts w:ascii="仿宋_GB2312" w:hAnsi="宋体" w:eastAsia="仿宋_GB2312"/>
          <w:color w:val="000000" w:themeColor="text1"/>
          <w:sz w:val="32"/>
          <w:szCs w:val="32"/>
          <w14:textFill>
            <w14:solidFill>
              <w14:schemeClr w14:val="tx1"/>
            </w14:solidFill>
          </w14:textFill>
        </w:rPr>
        <w:t>外销售的毛利率情况。</w:t>
      </w:r>
    </w:p>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除上述情形外，还可以关注以下事项：</w:t>
      </w:r>
    </w:p>
    <w:tbl>
      <w:tblPr>
        <w:tblStyle w:val="22"/>
        <w:tblW w:w="8520" w:type="dxa"/>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433"/>
        <w:gridCol w:w="708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433" w:type="dxa"/>
            <w:shd w:val="clear" w:color="auto" w:fill="D9D9D9"/>
            <w:noWrap/>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主要目的</w:t>
            </w:r>
          </w:p>
        </w:tc>
        <w:tc>
          <w:tcPr>
            <w:tcW w:w="7087" w:type="dxa"/>
            <w:shd w:val="clear" w:color="auto" w:fill="D9D9D9"/>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尽调要点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433" w:type="dxa"/>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准确性</w:t>
            </w:r>
          </w:p>
        </w:tc>
        <w:tc>
          <w:tcPr>
            <w:tcW w:w="7087" w:type="dxa"/>
            <w:shd w:val="clear" w:color="auto" w:fill="auto"/>
            <w:vAlign w:val="center"/>
          </w:tcPr>
          <w:p>
            <w:pPr>
              <w:widowControl/>
              <w:spacing w:line="360" w:lineRule="auto"/>
              <w:ind w:firstLine="360" w:firstLineChars="200"/>
              <w:jc w:val="left"/>
              <w:rPr>
                <w:rFonts w:ascii="仿宋" w:hAnsi="仿宋" w:eastAsia="仿宋" w:cs="Arial"/>
                <w:color w:val="000000"/>
                <w:kern w:val="0"/>
                <w:sz w:val="18"/>
                <w:szCs w:val="18"/>
              </w:rPr>
            </w:pPr>
            <w:r>
              <w:rPr>
                <w:rFonts w:hint="eastAsia" w:ascii="仿宋" w:hAnsi="仿宋" w:eastAsia="仿宋" w:cs="Arial"/>
                <w:color w:val="000000"/>
                <w:kern w:val="0"/>
                <w:sz w:val="18"/>
                <w:szCs w:val="18"/>
              </w:rPr>
              <w:t>结合发行人的贸易条款（F</w:t>
            </w:r>
            <w:r>
              <w:rPr>
                <w:rFonts w:ascii="仿宋" w:hAnsi="仿宋" w:eastAsia="仿宋" w:cs="Arial"/>
                <w:color w:val="000000"/>
                <w:kern w:val="0"/>
                <w:sz w:val="18"/>
                <w:szCs w:val="18"/>
              </w:rPr>
              <w:t>OB</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CIF</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CFR</w:t>
            </w:r>
            <w:r>
              <w:rPr>
                <w:rFonts w:hint="eastAsia" w:ascii="仿宋" w:hAnsi="仿宋" w:eastAsia="仿宋" w:cs="Arial"/>
                <w:color w:val="000000"/>
                <w:kern w:val="0"/>
                <w:sz w:val="18"/>
                <w:szCs w:val="18"/>
              </w:rPr>
              <w:t>、</w:t>
            </w:r>
            <w:r>
              <w:rPr>
                <w:rFonts w:ascii="仿宋" w:hAnsi="仿宋" w:eastAsia="仿宋" w:cs="Arial"/>
                <w:color w:val="000000"/>
                <w:kern w:val="0"/>
                <w:sz w:val="18"/>
                <w:szCs w:val="18"/>
              </w:rPr>
              <w:t>DDP</w:t>
            </w:r>
            <w:r>
              <w:rPr>
                <w:rFonts w:hint="eastAsia" w:ascii="仿宋" w:hAnsi="仿宋" w:eastAsia="仿宋" w:cs="Arial"/>
                <w:color w:val="000000"/>
                <w:kern w:val="0"/>
                <w:sz w:val="18"/>
                <w:szCs w:val="18"/>
              </w:rPr>
              <w:t>等），确定发行人的收入确认的时点和收入确认依据</w:t>
            </w:r>
            <w:r>
              <w:rPr>
                <w:rFonts w:ascii="仿宋" w:hAnsi="仿宋" w:eastAsia="仿宋" w:cs="Arial"/>
                <w:color w:val="000000"/>
                <w:kern w:val="0"/>
                <w:sz w:val="18"/>
                <w:szCs w:val="18"/>
              </w:rPr>
              <w:t xml:space="preserve">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1433" w:type="dxa"/>
            <w:shd w:val="clear" w:color="auto" w:fill="auto"/>
            <w:noWrap/>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真实性</w:t>
            </w:r>
          </w:p>
        </w:tc>
        <w:tc>
          <w:tcPr>
            <w:tcW w:w="7087" w:type="dxa"/>
            <w:shd w:val="clear" w:color="auto" w:fill="auto"/>
            <w:vAlign w:val="center"/>
          </w:tcPr>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1、</w:t>
            </w:r>
            <w:r>
              <w:rPr>
                <w:rFonts w:hint="eastAsia" w:ascii="仿宋" w:hAnsi="仿宋" w:eastAsia="仿宋" w:cs="Arial"/>
                <w:color w:val="000000"/>
                <w:kern w:val="0"/>
                <w:sz w:val="18"/>
                <w:szCs w:val="18"/>
              </w:rPr>
              <w:t>可通过</w:t>
            </w:r>
            <w:r>
              <w:rPr>
                <w:rFonts w:ascii="仿宋" w:hAnsi="仿宋" w:eastAsia="仿宋" w:cs="Arial"/>
                <w:color w:val="000000"/>
                <w:kern w:val="0"/>
                <w:sz w:val="18"/>
                <w:szCs w:val="18"/>
              </w:rPr>
              <w:t>函证或走访海关等相关机构，将其与销售收入金额进行核对；</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2、收集发货单、报关单、提单、外汇核销单据等外部证据，并与收入进行核对；</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3、对</w:t>
            </w:r>
            <w:r>
              <w:rPr>
                <w:rFonts w:hint="eastAsia" w:ascii="仿宋" w:hAnsi="仿宋" w:eastAsia="仿宋" w:cs="Arial"/>
                <w:color w:val="000000"/>
                <w:kern w:val="0"/>
                <w:sz w:val="18"/>
                <w:szCs w:val="18"/>
              </w:rPr>
              <w:t>海外</w:t>
            </w:r>
            <w:r>
              <w:rPr>
                <w:rFonts w:ascii="仿宋" w:hAnsi="仿宋" w:eastAsia="仿宋" w:cs="Arial"/>
                <w:color w:val="000000"/>
                <w:kern w:val="0"/>
                <w:sz w:val="18"/>
                <w:szCs w:val="18"/>
              </w:rPr>
              <w:t>主要客户应当进行走访</w:t>
            </w:r>
            <w:r>
              <w:rPr>
                <w:rFonts w:hint="eastAsia" w:ascii="仿宋" w:hAnsi="仿宋" w:eastAsia="仿宋" w:cs="Arial"/>
                <w:color w:val="000000"/>
                <w:kern w:val="0"/>
                <w:sz w:val="18"/>
                <w:szCs w:val="18"/>
              </w:rPr>
              <w:t>并采取恰当的手段进行</w:t>
            </w:r>
            <w:r>
              <w:rPr>
                <w:rFonts w:ascii="仿宋" w:hAnsi="仿宋" w:eastAsia="仿宋" w:cs="Arial"/>
                <w:color w:val="000000"/>
                <w:kern w:val="0"/>
                <w:sz w:val="18"/>
                <w:szCs w:val="18"/>
              </w:rPr>
              <w:t>核查</w:t>
            </w:r>
            <w:r>
              <w:rPr>
                <w:rFonts w:hint="eastAsia" w:ascii="仿宋" w:hAnsi="仿宋" w:eastAsia="仿宋" w:cs="Arial"/>
                <w:color w:val="000000"/>
                <w:kern w:val="0"/>
                <w:sz w:val="18"/>
                <w:szCs w:val="18"/>
              </w:rPr>
              <w:t>；</w:t>
            </w:r>
          </w:p>
          <w:p>
            <w:pPr>
              <w:widowControl/>
              <w:spacing w:line="360" w:lineRule="auto"/>
              <w:jc w:val="left"/>
              <w:rPr>
                <w:rFonts w:ascii="仿宋" w:hAnsi="仿宋" w:eastAsia="仿宋" w:cs="Arial"/>
                <w:color w:val="000000"/>
                <w:kern w:val="0"/>
                <w:sz w:val="18"/>
                <w:szCs w:val="18"/>
              </w:rPr>
            </w:pPr>
            <w:r>
              <w:rPr>
                <w:rFonts w:ascii="仿宋" w:hAnsi="仿宋" w:eastAsia="仿宋" w:cs="Arial"/>
                <w:color w:val="000000"/>
                <w:kern w:val="0"/>
                <w:sz w:val="18"/>
                <w:szCs w:val="18"/>
              </w:rPr>
              <w:t xml:space="preserve">    4、核查发行人与控股股东及其关联方之间是否存在贸易代理、外汇代收代付等情形，其定价是否合理，是否符合税务、外汇管理等相关规定。</w:t>
            </w:r>
          </w:p>
        </w:tc>
      </w:tr>
    </w:tbl>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bookmarkStart w:id="88" w:name="_Toc475710408"/>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4）互联网销售</w:t>
      </w:r>
      <w:r>
        <w:rPr>
          <w:rFonts w:hint="eastAsia" w:ascii="仿宋_GB2312" w:hAnsi="宋体" w:eastAsia="仿宋_GB2312"/>
          <w:color w:val="000000" w:themeColor="text1"/>
          <w:sz w:val="32"/>
          <w:szCs w:val="32"/>
          <w14:textFill>
            <w14:solidFill>
              <w14:schemeClr w14:val="tx1"/>
            </w14:solidFill>
          </w14:textFill>
        </w:rPr>
        <w:t>及信息系统的核查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发行人的</w:t>
      </w:r>
      <w:r>
        <w:rPr>
          <w:rFonts w:ascii="仿宋_GB2312" w:hAnsi="宋体" w:eastAsia="仿宋_GB2312"/>
          <w:color w:val="000000" w:themeColor="text1"/>
          <w:sz w:val="32"/>
          <w:szCs w:val="32"/>
          <w14:textFill>
            <w14:solidFill>
              <w14:schemeClr w14:val="tx1"/>
            </w14:solidFill>
          </w14:textFill>
        </w:rPr>
        <w:t>业务主要通过互联网</w:t>
      </w:r>
      <w:r>
        <w:rPr>
          <w:rFonts w:hint="eastAsia" w:ascii="仿宋_GB2312" w:hAnsi="宋体" w:eastAsia="仿宋_GB2312"/>
          <w:color w:val="000000" w:themeColor="text1"/>
          <w:sz w:val="32"/>
          <w:szCs w:val="32"/>
          <w14:textFill>
            <w14:solidFill>
              <w14:schemeClr w14:val="tx1"/>
            </w14:solidFill>
          </w14:textFill>
        </w:rPr>
        <w:t>销售或</w:t>
      </w:r>
      <w:r>
        <w:rPr>
          <w:rFonts w:ascii="仿宋_GB2312" w:hAnsi="宋体" w:eastAsia="仿宋_GB2312"/>
          <w:color w:val="000000" w:themeColor="text1"/>
          <w:sz w:val="32"/>
          <w:szCs w:val="32"/>
          <w14:textFill>
            <w14:solidFill>
              <w14:schemeClr w14:val="tx1"/>
            </w14:solidFill>
          </w14:textFill>
        </w:rPr>
        <w:t>其客户主要采用互联网销售发行人产品（服务）的，</w:t>
      </w:r>
      <w:r>
        <w:rPr>
          <w:rFonts w:hint="eastAsia" w:ascii="仿宋_GB2312" w:hAnsi="宋体" w:eastAsia="仿宋_GB2312"/>
          <w:color w:val="000000" w:themeColor="text1"/>
          <w:sz w:val="32"/>
          <w:szCs w:val="32"/>
          <w14:textFill>
            <w14:solidFill>
              <w14:schemeClr w14:val="tx1"/>
            </w14:solidFill>
          </w14:textFill>
        </w:rPr>
        <w:t>保荐人应</w:t>
      </w:r>
      <w:r>
        <w:rPr>
          <w:rFonts w:ascii="仿宋_GB2312" w:hAnsi="宋体" w:eastAsia="仿宋_GB2312"/>
          <w:color w:val="000000" w:themeColor="text1"/>
          <w:sz w:val="32"/>
          <w:szCs w:val="32"/>
          <w14:textFill>
            <w14:solidFill>
              <w14:schemeClr w14:val="tx1"/>
            </w14:solidFill>
          </w14:textFill>
        </w:rPr>
        <w:t>结合客户地域分布、活跃度，购买频次和金额、注册时间等，核查业务数据的真实性和可靠性。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对于直接向用户收取费用的此类企业，如互联网线上销售、互联网信息服务、互联网游戏等，</w:t>
      </w:r>
      <w:r>
        <w:rPr>
          <w:rFonts w:hint="eastAsia" w:ascii="仿宋_GB2312" w:hAnsi="宋体" w:eastAsia="仿宋_GB2312"/>
          <w:color w:val="000000" w:themeColor="text1"/>
          <w:sz w:val="32"/>
          <w:szCs w:val="32"/>
          <w14:textFill>
            <w14:solidFill>
              <w14:schemeClr w14:val="tx1"/>
            </w14:solidFill>
          </w14:textFill>
        </w:rPr>
        <w:t>保荐人</w:t>
      </w:r>
      <w:r>
        <w:rPr>
          <w:rFonts w:ascii="仿宋_GB2312" w:hAnsi="宋体" w:eastAsia="仿宋_GB2312"/>
          <w:color w:val="000000" w:themeColor="text1"/>
          <w:sz w:val="32"/>
          <w:szCs w:val="32"/>
          <w14:textFill>
            <w14:solidFill>
              <w14:schemeClr w14:val="tx1"/>
            </w14:solidFill>
          </w14:textFill>
        </w:rPr>
        <w:t>核查</w:t>
      </w:r>
      <w:r>
        <w:rPr>
          <w:rFonts w:hint="eastAsia" w:ascii="仿宋_GB2312" w:hAnsi="宋体" w:eastAsia="仿宋_GB2312"/>
          <w:color w:val="000000" w:themeColor="text1"/>
          <w:sz w:val="32"/>
          <w:szCs w:val="32"/>
          <w14:textFill>
            <w14:solidFill>
              <w14:schemeClr w14:val="tx1"/>
            </w14:solidFill>
          </w14:textFill>
        </w:rPr>
        <w:t>中应关注：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1）经营数据的完整性和准确性，是否存在被篡改的风险，与财务数据是否一致；</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2）用户真实性与变动合理性，包括新增用户的地域分布与数量、留存用户的数量、活跃用户数量、月活用户数量、单次访问时长与访问时间段等，系统数据与第三方统计平台数据是否一致；</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3）用户行为核查，包括但不限于登录IP或MAC地址信息、充值与消费的情况、重点产品消费或销售情况、僵尸用户情况等，用户充值、消耗或消费的时间分布是否合理，重点用户充值或消费是否合理；</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4）系统收款或交易金额与第三方支付渠道交易金额是否一致，是否存在自充值或刷单情况；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5）平均用户收入、平均付费用户收入等数值的变动趋势是否合理；</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6）业务系统记录与计算虚拟钱包（如有）的充值、消费数据是否准确；</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7）互联网数据中心（IDC）或带宽费用的核查情况，与访问量是否匹配；</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8）获客成本、获客渠道是否合理，变动是否存在异常。</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对用户消费占整体收入比较低，主要通过</w:t>
      </w:r>
      <w:r>
        <w:rPr>
          <w:rFonts w:hint="eastAsia" w:ascii="仿宋_GB2312" w:hAnsi="宋体" w:eastAsia="仿宋_GB2312"/>
          <w:color w:val="000000" w:themeColor="text1"/>
          <w:sz w:val="32"/>
          <w:szCs w:val="32"/>
          <w14:textFill>
            <w14:solidFill>
              <w14:schemeClr w14:val="tx1"/>
            </w14:solidFill>
          </w14:textFill>
        </w:rPr>
        <w:t>向用户</w:t>
      </w:r>
      <w:r>
        <w:rPr>
          <w:rFonts w:ascii="仿宋_GB2312" w:hAnsi="宋体" w:eastAsia="仿宋_GB2312"/>
          <w:color w:val="000000" w:themeColor="text1"/>
          <w:sz w:val="32"/>
          <w:szCs w:val="32"/>
          <w14:textFill>
            <w14:solidFill>
              <w14:schemeClr w14:val="tx1"/>
            </w14:solidFill>
          </w14:textFill>
        </w:rPr>
        <w:t>展示或用户点击后</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向广告主或广告代理商</w:t>
      </w:r>
      <w:r>
        <w:rPr>
          <w:rFonts w:hint="eastAsia" w:ascii="仿宋_GB2312" w:hAnsi="宋体" w:eastAsia="仿宋_GB2312"/>
          <w:color w:val="000000" w:themeColor="text1"/>
          <w:sz w:val="32"/>
          <w:szCs w:val="32"/>
          <w14:textFill>
            <w14:solidFill>
              <w14:schemeClr w14:val="tx1"/>
            </w14:solidFill>
          </w14:textFill>
        </w:rPr>
        <w:t>等</w:t>
      </w:r>
      <w:r>
        <w:rPr>
          <w:rFonts w:ascii="仿宋_GB2312" w:hAnsi="宋体" w:eastAsia="仿宋_GB2312"/>
          <w:color w:val="000000" w:themeColor="text1"/>
          <w:sz w:val="32"/>
          <w:szCs w:val="32"/>
          <w14:textFill>
            <w14:solidFill>
              <w14:schemeClr w14:val="tx1"/>
            </w14:solidFill>
          </w14:textFill>
        </w:rPr>
        <w:t>收取费用的</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尽职调查中</w:t>
      </w:r>
      <w:r>
        <w:rPr>
          <w:rFonts w:ascii="仿宋_GB2312" w:hAnsi="宋体" w:eastAsia="仿宋_GB2312"/>
          <w:color w:val="000000" w:themeColor="text1"/>
          <w:sz w:val="32"/>
          <w:szCs w:val="32"/>
          <w14:textFill>
            <w14:solidFill>
              <w14:schemeClr w14:val="tx1"/>
            </w14:solidFill>
          </w14:textFill>
        </w:rPr>
        <w:t>应</w:t>
      </w:r>
      <w:r>
        <w:rPr>
          <w:rFonts w:hint="eastAsia" w:ascii="仿宋_GB2312" w:hAnsi="宋体" w:eastAsia="仿宋_GB2312"/>
          <w:color w:val="000000" w:themeColor="text1"/>
          <w:sz w:val="32"/>
          <w:szCs w:val="32"/>
          <w14:textFill>
            <w14:solidFill>
              <w14:schemeClr w14:val="tx1"/>
            </w14:solidFill>
          </w14:textFill>
        </w:rPr>
        <w:t>关注</w:t>
      </w:r>
      <w:r>
        <w:rPr>
          <w:rFonts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1）经营数据的完整性和准确性，是否存在被篡改的风险，与财务数据是否一致；</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2）不同平台用户占比是否符合商业逻辑与产品定位；</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3）推广投入效果情况，获客成本是否合理；</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4）用户行为真实性核查，应用软件的下载或激活的用户数量、新增和活跃的用户是否真实，是否存在购买虚假用户流量或虚构流量情况；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5）广告投放的真实性，是否存在与广告商串通进行虚假交易；</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6）用户的广告浏览行为是否存在明显异常。</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如因核查范围受限、历史数据丢失、信息系统缺陷、涉及商业秘密等原因，导致无法获取全部或部分运营数据，无法进行充分核查的，保荐</w:t>
      </w:r>
      <w:r>
        <w:rPr>
          <w:rFonts w:hint="eastAsia" w:ascii="仿宋_GB2312" w:hAnsi="宋体" w:eastAsia="仿宋_GB2312"/>
          <w:color w:val="000000" w:themeColor="text1"/>
          <w:sz w:val="32"/>
          <w:szCs w:val="32"/>
          <w14:textFill>
            <w14:solidFill>
              <w14:schemeClr w14:val="tx1"/>
            </w14:solidFill>
          </w14:textFill>
        </w:rPr>
        <w:t>人</w:t>
      </w:r>
      <w:r>
        <w:rPr>
          <w:rFonts w:ascii="仿宋_GB2312" w:hAnsi="宋体" w:eastAsia="仿宋_GB2312"/>
          <w:color w:val="000000" w:themeColor="text1"/>
          <w:sz w:val="32"/>
          <w:szCs w:val="32"/>
          <w14:textFill>
            <w14:solidFill>
              <w14:schemeClr w14:val="tx1"/>
            </w14:solidFill>
          </w14:textFill>
        </w:rPr>
        <w:t>应考虑该等情况是否存在异常并就信息系统可靠性</w:t>
      </w:r>
      <w:r>
        <w:rPr>
          <w:rFonts w:hint="eastAsia" w:ascii="仿宋_GB2312" w:hAnsi="宋体" w:eastAsia="仿宋_GB2312"/>
          <w:color w:val="000000" w:themeColor="text1"/>
          <w:sz w:val="32"/>
          <w:szCs w:val="32"/>
          <w14:textFill>
            <w14:solidFill>
              <w14:schemeClr w14:val="tx1"/>
            </w14:solidFill>
          </w14:textFill>
        </w:rPr>
        <w:t>分析对财务报表的影响。</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发行人主要经营活动并非直接通过互联网开展，但其客户主要通过互联网销售发行人产品或服务，如发行人该类业务营业收入占比或毛利占比超过30%，</w:t>
      </w:r>
      <w:r>
        <w:rPr>
          <w:rFonts w:hint="eastAsia" w:ascii="仿宋_GB2312" w:hAnsi="宋体" w:eastAsia="仿宋_GB2312"/>
          <w:color w:val="000000" w:themeColor="text1"/>
          <w:sz w:val="32"/>
          <w:szCs w:val="32"/>
          <w14:textFill>
            <w14:solidFill>
              <w14:schemeClr w14:val="tx1"/>
            </w14:solidFill>
          </w14:textFill>
        </w:rPr>
        <w:t>保荐人</w:t>
      </w:r>
      <w:r>
        <w:rPr>
          <w:rFonts w:ascii="仿宋_GB2312" w:hAnsi="宋体" w:eastAsia="仿宋_GB2312"/>
          <w:color w:val="000000" w:themeColor="text1"/>
          <w:sz w:val="32"/>
          <w:szCs w:val="32"/>
          <w14:textFill>
            <w14:solidFill>
              <w14:schemeClr w14:val="tx1"/>
            </w14:solidFill>
          </w14:textFill>
        </w:rPr>
        <w:t>应核查该类客户向发行人传输交易信息、相关数据的方式、内容，并以可靠方式从发行人获取该等数据，核查该等数据与发行人销售、物流等数据是否存在差异，互联网终端客户情况（如消费者数量、集中度、地域分布、</w:t>
      </w:r>
      <w:r>
        <w:rPr>
          <w:rFonts w:hint="eastAsia" w:ascii="仿宋_GB2312" w:hAnsi="宋体" w:eastAsia="仿宋_GB2312"/>
          <w:color w:val="000000" w:themeColor="text1"/>
          <w:sz w:val="32"/>
          <w:szCs w:val="32"/>
          <w14:textFill>
            <w14:solidFill>
              <w14:schemeClr w14:val="tx1"/>
            </w14:solidFill>
          </w14:textFill>
        </w:rPr>
        <w:t>活跃度、购买频次和金额、注册时间</w:t>
      </w:r>
      <w:r>
        <w:rPr>
          <w:rFonts w:ascii="仿宋_GB2312" w:hAnsi="宋体" w:eastAsia="仿宋_GB2312"/>
          <w:color w:val="000000" w:themeColor="text1"/>
          <w:sz w:val="32"/>
          <w:szCs w:val="32"/>
          <w14:textFill>
            <w14:solidFill>
              <w14:schemeClr w14:val="tx1"/>
            </w14:solidFill>
          </w14:textFill>
        </w:rPr>
        <w:t>等）是否存在异常。对无法取得客户相关交易数据的，</w:t>
      </w:r>
      <w:r>
        <w:rPr>
          <w:rFonts w:hint="eastAsia" w:ascii="仿宋_GB2312" w:hAnsi="宋体" w:eastAsia="仿宋_GB2312"/>
          <w:color w:val="000000" w:themeColor="text1"/>
          <w:sz w:val="32"/>
          <w:szCs w:val="32"/>
          <w14:textFill>
            <w14:solidFill>
              <w14:schemeClr w14:val="tx1"/>
            </w14:solidFill>
          </w14:textFill>
        </w:rPr>
        <w:t>保荐人</w:t>
      </w:r>
      <w:r>
        <w:rPr>
          <w:rFonts w:ascii="仿宋_GB2312" w:hAnsi="宋体" w:eastAsia="仿宋_GB2312"/>
          <w:color w:val="000000" w:themeColor="text1"/>
          <w:sz w:val="32"/>
          <w:szCs w:val="32"/>
          <w14:textFill>
            <w14:solidFill>
              <w14:schemeClr w14:val="tx1"/>
            </w14:solidFill>
          </w14:textFill>
        </w:rPr>
        <w:t>应充分核查原因并谨慎评估该情况对</w:t>
      </w:r>
      <w:r>
        <w:rPr>
          <w:rFonts w:hint="eastAsia" w:ascii="仿宋_GB2312" w:hAnsi="宋体" w:eastAsia="仿宋_GB2312"/>
          <w:color w:val="000000" w:themeColor="text1"/>
          <w:sz w:val="32"/>
          <w:szCs w:val="32"/>
          <w14:textFill>
            <w14:solidFill>
              <w14:schemeClr w14:val="tx1"/>
            </w14:solidFill>
          </w14:textFill>
        </w:rPr>
        <w:t>财务报表</w:t>
      </w:r>
      <w:r>
        <w:rPr>
          <w:rFonts w:ascii="仿宋_GB2312" w:hAnsi="宋体" w:eastAsia="仿宋_GB2312"/>
          <w:color w:val="000000" w:themeColor="text1"/>
          <w:sz w:val="32"/>
          <w:szCs w:val="32"/>
          <w14:textFill>
            <w14:solidFill>
              <w14:schemeClr w14:val="tx1"/>
            </w14:solidFill>
          </w14:textFill>
        </w:rPr>
        <w:t>的影响。</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发行人日常经营活动高度依赖信息系统的，应</w:t>
      </w:r>
      <w:r>
        <w:rPr>
          <w:rFonts w:hint="eastAsia" w:ascii="仿宋_GB2312" w:hAnsi="宋体" w:eastAsia="仿宋_GB2312"/>
          <w:color w:val="000000" w:themeColor="text1"/>
          <w:sz w:val="32"/>
          <w:szCs w:val="32"/>
          <w14:textFill>
            <w14:solidFill>
              <w14:schemeClr w14:val="tx1"/>
            </w14:solidFill>
          </w14:textFill>
        </w:rPr>
        <w:t>向发行人了解</w:t>
      </w:r>
      <w:r>
        <w:rPr>
          <w:rFonts w:ascii="仿宋_GB2312" w:hAnsi="宋体" w:eastAsia="仿宋_GB2312"/>
          <w:color w:val="000000" w:themeColor="text1"/>
          <w:sz w:val="32"/>
          <w:szCs w:val="32"/>
          <w14:textFill>
            <w14:solidFill>
              <w14:schemeClr w14:val="tx1"/>
            </w14:solidFill>
          </w14:textFill>
        </w:rPr>
        <w:t>报告期应用的信息系统情况，包括系统名称、开发人、基本架构、主要功能、应用方式、各层级数据浏览或修改权限</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信息系统运行和管理情况等</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核查信息系统业务数据与财务数据的一致性、匹配性</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互联网销售</w:t>
      </w:r>
      <w:r>
        <w:rPr>
          <w:rFonts w:hint="eastAsia" w:ascii="仿宋_GB2312" w:hAnsi="宋体" w:eastAsia="仿宋_GB2312"/>
          <w:color w:val="000000" w:themeColor="text1"/>
          <w:sz w:val="32"/>
          <w:szCs w:val="32"/>
          <w14:textFill>
            <w14:solidFill>
              <w14:schemeClr w14:val="tx1"/>
            </w14:solidFill>
          </w14:textFill>
        </w:rPr>
        <w:t>及信息系统的核查过程中，</w:t>
      </w:r>
      <w:r>
        <w:rPr>
          <w:rFonts w:ascii="仿宋_GB2312" w:hAnsi="宋体" w:eastAsia="仿宋_GB2312"/>
          <w:color w:val="000000" w:themeColor="text1"/>
          <w:sz w:val="32"/>
          <w:szCs w:val="32"/>
          <w14:textFill>
            <w14:solidFill>
              <w14:schemeClr w14:val="tx1"/>
            </w14:solidFill>
          </w14:textFill>
        </w:rPr>
        <w:t>必要时，在确保外部专家胜任能力和独立性的基础上，保荐人可以合理利用外部专家的工作对互联网销售或信息系统的可靠性、有效性进行核查。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5）其他情况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发行人存在其他特殊交易模式或创新交易模式的，</w:t>
      </w:r>
      <w:r>
        <w:rPr>
          <w:rFonts w:hint="eastAsia" w:ascii="仿宋_GB2312" w:hAnsi="宋体" w:eastAsia="仿宋_GB2312"/>
          <w:color w:val="000000" w:themeColor="text1"/>
          <w:sz w:val="32"/>
          <w:szCs w:val="32"/>
          <w14:textFill>
            <w14:solidFill>
              <w14:schemeClr w14:val="tx1"/>
            </w14:solidFill>
          </w14:textFill>
        </w:rPr>
        <w:t>了解交易模式的特点、商业实质等，查阅合同条款，询问管理层、会计师，</w:t>
      </w:r>
      <w:r>
        <w:rPr>
          <w:rFonts w:ascii="仿宋_GB2312" w:hAnsi="宋体" w:eastAsia="仿宋_GB2312"/>
          <w:color w:val="000000" w:themeColor="text1"/>
          <w:sz w:val="32"/>
          <w:szCs w:val="32"/>
          <w14:textFill>
            <w14:solidFill>
              <w14:schemeClr w14:val="tx1"/>
            </w14:solidFill>
          </w14:textFill>
        </w:rPr>
        <w:t>分析盈利模式、交易模式等对交易实质和收入确认的影响。</w:t>
      </w:r>
    </w:p>
    <w:p>
      <w:pPr>
        <w:numPr>
          <w:ilvl w:val="0"/>
          <w:numId w:val="3"/>
        </w:numPr>
        <w:adjustRightInd w:val="0"/>
        <w:snapToGrid w:val="0"/>
        <w:spacing w:line="360" w:lineRule="auto"/>
        <w:ind w:left="0" w:leftChars="0"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异常销售情况或特殊客户</w:t>
      </w:r>
      <w:bookmarkEnd w:id="88"/>
    </w:p>
    <w:p>
      <w:pPr>
        <w:widowControl w:val="0"/>
        <w:numPr>
          <w:ilvl w:val="0"/>
          <w:numId w:val="0"/>
        </w:numPr>
        <w:adjustRightInd w:val="0"/>
        <w:snapToGrid w:val="0"/>
        <w:spacing w:line="360" w:lineRule="auto"/>
        <w:jc w:val="both"/>
        <w:rPr>
          <w:rFonts w:hint="eastAsia" w:ascii="仿宋_GB2312" w:hAnsi="宋体" w:eastAsia="仿宋_GB2312"/>
          <w:color w:val="000000" w:themeColor="text1"/>
          <w:sz w:val="32"/>
          <w:szCs w:val="32"/>
          <w14:textFill>
            <w14:solidFill>
              <w14:schemeClr w14:val="tx1"/>
            </w14:solidFill>
          </w14:textFill>
        </w:rPr>
      </w:pPr>
    </w:p>
    <w:p>
      <w:pPr>
        <w:widowControl w:val="0"/>
        <w:numPr>
          <w:ilvl w:val="0"/>
          <w:numId w:val="0"/>
        </w:numPr>
        <w:adjustRightInd w:val="0"/>
        <w:snapToGrid w:val="0"/>
        <w:spacing w:line="360" w:lineRule="auto"/>
        <w:jc w:val="both"/>
        <w:rPr>
          <w:rFonts w:hint="eastAsia" w:ascii="仿宋_GB2312" w:hAnsi="宋体" w:eastAsia="仿宋_GB2312"/>
          <w:color w:val="000000" w:themeColor="text1"/>
          <w:sz w:val="32"/>
          <w:szCs w:val="32"/>
          <w14:textFill>
            <w14:solidFill>
              <w14:schemeClr w14:val="tx1"/>
            </w14:solidFill>
          </w14:textFill>
        </w:rPr>
      </w:pPr>
    </w:p>
    <w:p>
      <w:pPr>
        <w:widowControl w:val="0"/>
        <w:numPr>
          <w:ilvl w:val="0"/>
          <w:numId w:val="0"/>
        </w:numPr>
        <w:adjustRightInd w:val="0"/>
        <w:snapToGrid w:val="0"/>
        <w:spacing w:line="360" w:lineRule="auto"/>
        <w:jc w:val="both"/>
        <w:rPr>
          <w:rFonts w:hint="eastAsia" w:ascii="仿宋_GB2312" w:hAnsi="宋体" w:eastAsia="仿宋_GB2312"/>
          <w:color w:val="000000" w:themeColor="text1"/>
          <w:sz w:val="32"/>
          <w:szCs w:val="32"/>
          <w14:textFill>
            <w14:solidFill>
              <w14:schemeClr w14:val="tx1"/>
            </w14:solidFill>
          </w14:textFill>
        </w:rPr>
      </w:pPr>
    </w:p>
    <w:tbl>
      <w:tblPr>
        <w:tblStyle w:val="22"/>
        <w:tblW w:w="5000"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600"/>
        <w:gridCol w:w="692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blHeader/>
          <w:jc w:val="center"/>
        </w:trPr>
        <w:tc>
          <w:tcPr>
            <w:tcW w:w="938" w:type="pct"/>
            <w:tcBorders>
              <w:top w:val="single" w:color="auto" w:sz="12" w:space="0"/>
              <w:bottom w:val="dotted" w:color="auto" w:sz="4" w:space="0"/>
            </w:tcBorders>
            <w:shd w:val="pct10" w:color="auto" w:fill="auto"/>
            <w:vAlign w:val="center"/>
          </w:tcPr>
          <w:p>
            <w:pPr>
              <w:tabs>
                <w:tab w:val="left" w:pos="1080"/>
              </w:tabs>
              <w:spacing w:line="360" w:lineRule="auto"/>
              <w:ind w:left="-119"/>
              <w:jc w:val="center"/>
              <w:rPr>
                <w:rFonts w:ascii="仿宋" w:hAnsi="仿宋" w:eastAsia="仿宋"/>
                <w:b/>
                <w:szCs w:val="21"/>
              </w:rPr>
            </w:pPr>
            <w:r>
              <w:rPr>
                <w:rFonts w:hint="eastAsia" w:ascii="仿宋" w:hAnsi="仿宋" w:eastAsia="仿宋"/>
                <w:b/>
                <w:szCs w:val="21"/>
              </w:rPr>
              <w:t>异常或需重点关注情况</w:t>
            </w:r>
          </w:p>
        </w:tc>
        <w:tc>
          <w:tcPr>
            <w:tcW w:w="4062" w:type="pct"/>
            <w:tcBorders>
              <w:top w:val="single" w:color="auto" w:sz="12" w:space="0"/>
              <w:bottom w:val="dotted" w:color="auto" w:sz="4" w:space="0"/>
            </w:tcBorders>
            <w:shd w:val="pct10" w:color="auto" w:fill="auto"/>
            <w:vAlign w:val="center"/>
          </w:tcPr>
          <w:p>
            <w:pPr>
              <w:tabs>
                <w:tab w:val="left" w:pos="1080"/>
              </w:tabs>
              <w:spacing w:line="360" w:lineRule="auto"/>
              <w:ind w:left="-119"/>
              <w:jc w:val="center"/>
              <w:rPr>
                <w:rFonts w:ascii="仿宋" w:hAnsi="仿宋" w:eastAsia="仿宋"/>
                <w:b/>
                <w:szCs w:val="21"/>
              </w:rPr>
            </w:pPr>
            <w:r>
              <w:rPr>
                <w:rFonts w:hint="eastAsia" w:ascii="仿宋" w:hAnsi="仿宋" w:eastAsia="仿宋"/>
                <w:b/>
                <w:szCs w:val="21"/>
              </w:rPr>
              <w:t>核查中需关注的内容</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blHeader/>
          <w:jc w:val="center"/>
        </w:trPr>
        <w:tc>
          <w:tcPr>
            <w:tcW w:w="938" w:type="pct"/>
            <w:tcBorders>
              <w:top w:val="dotted" w:color="auto" w:sz="4" w:space="0"/>
            </w:tcBorders>
            <w:vAlign w:val="center"/>
          </w:tcPr>
          <w:p>
            <w:pPr>
              <w:tabs>
                <w:tab w:val="left" w:pos="1080"/>
              </w:tabs>
              <w:spacing w:line="360" w:lineRule="auto"/>
              <w:ind w:left="-119"/>
              <w:rPr>
                <w:rFonts w:ascii="仿宋" w:hAnsi="仿宋" w:eastAsia="仿宋"/>
                <w:sz w:val="18"/>
                <w:szCs w:val="18"/>
              </w:rPr>
            </w:pPr>
            <w:r>
              <w:rPr>
                <w:rFonts w:hint="eastAsia" w:ascii="仿宋" w:hAnsi="仿宋" w:eastAsia="仿宋"/>
                <w:sz w:val="18"/>
                <w:szCs w:val="18"/>
              </w:rPr>
              <w:t>发行人对某一客户存在重大依赖</w:t>
            </w:r>
          </w:p>
        </w:tc>
        <w:tc>
          <w:tcPr>
            <w:tcW w:w="4062" w:type="pct"/>
            <w:tcBorders>
              <w:top w:val="dotted" w:color="auto" w:sz="4" w:space="0"/>
            </w:tcBorders>
            <w:vAlign w:val="center"/>
          </w:tcPr>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1、关注形成原因</w:t>
            </w:r>
            <w:r>
              <w:rPr>
                <w:rFonts w:hint="eastAsia" w:ascii="仿宋" w:hAnsi="仿宋" w:eastAsia="仿宋"/>
                <w:sz w:val="18"/>
                <w:szCs w:val="18"/>
              </w:rPr>
              <w:t>，</w:t>
            </w:r>
            <w:r>
              <w:rPr>
                <w:rFonts w:ascii="仿宋" w:hAnsi="仿宋" w:eastAsia="仿宋"/>
                <w:sz w:val="18"/>
                <w:szCs w:val="18"/>
              </w:rPr>
              <w:t>是否</w:t>
            </w:r>
            <w:r>
              <w:rPr>
                <w:rFonts w:hint="eastAsia" w:ascii="仿宋" w:hAnsi="仿宋" w:eastAsia="仿宋"/>
                <w:sz w:val="18"/>
                <w:szCs w:val="18"/>
              </w:rPr>
              <w:t>符合</w:t>
            </w:r>
            <w:r>
              <w:rPr>
                <w:rFonts w:ascii="仿宋" w:hAnsi="仿宋" w:eastAsia="仿宋"/>
                <w:sz w:val="18"/>
                <w:szCs w:val="18"/>
              </w:rPr>
              <w:t>行业</w:t>
            </w:r>
            <w:r>
              <w:rPr>
                <w:rFonts w:hint="eastAsia" w:ascii="仿宋" w:hAnsi="仿宋" w:eastAsia="仿宋"/>
                <w:sz w:val="18"/>
                <w:szCs w:val="18"/>
              </w:rPr>
              <w:t>特点，以及同行业上市公司客户分布情况</w:t>
            </w:r>
            <w:r>
              <w:rPr>
                <w:rFonts w:ascii="仿宋" w:hAnsi="仿宋" w:eastAsia="仿宋"/>
                <w:sz w:val="18"/>
                <w:szCs w:val="18"/>
              </w:rPr>
              <w:t>；</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2、重点关注该客户的市场地位</w:t>
            </w:r>
            <w:r>
              <w:rPr>
                <w:rFonts w:hint="eastAsia" w:ascii="仿宋" w:hAnsi="仿宋" w:eastAsia="仿宋"/>
                <w:sz w:val="18"/>
                <w:szCs w:val="18"/>
              </w:rPr>
              <w:t>和行业情况</w:t>
            </w:r>
            <w:r>
              <w:rPr>
                <w:rFonts w:ascii="仿宋" w:hAnsi="仿宋" w:eastAsia="仿宋"/>
                <w:sz w:val="18"/>
                <w:szCs w:val="18"/>
              </w:rPr>
              <w:t>，该客户的持续经营是否存在重大不确定性；</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3、</w:t>
            </w:r>
            <w:r>
              <w:rPr>
                <w:rFonts w:hint="eastAsia" w:ascii="仿宋" w:hAnsi="仿宋" w:eastAsia="仿宋"/>
                <w:sz w:val="18"/>
                <w:szCs w:val="18"/>
              </w:rPr>
              <w:t>了解</w:t>
            </w:r>
            <w:r>
              <w:rPr>
                <w:rFonts w:ascii="仿宋" w:hAnsi="仿宋" w:eastAsia="仿宋"/>
                <w:sz w:val="18"/>
                <w:szCs w:val="18"/>
              </w:rPr>
              <w:t>发行人在客户体系中的地位</w:t>
            </w:r>
            <w:r>
              <w:rPr>
                <w:rFonts w:hint="eastAsia" w:ascii="仿宋" w:hAnsi="仿宋" w:eastAsia="仿宋"/>
                <w:sz w:val="18"/>
                <w:szCs w:val="18"/>
              </w:rPr>
              <w:t>，</w:t>
            </w:r>
            <w:r>
              <w:rPr>
                <w:rFonts w:ascii="仿宋" w:hAnsi="仿宋" w:eastAsia="仿宋"/>
                <w:sz w:val="18"/>
                <w:szCs w:val="18"/>
              </w:rPr>
              <w:t>通过走访等恰当的方式予以验证，关注销售关系的稳定性</w:t>
            </w:r>
            <w:r>
              <w:rPr>
                <w:rFonts w:hint="eastAsia" w:ascii="仿宋" w:hAnsi="仿宋" w:eastAsia="仿宋"/>
                <w:sz w:val="18"/>
                <w:szCs w:val="18"/>
              </w:rPr>
              <w:t>，</w:t>
            </w:r>
            <w:r>
              <w:rPr>
                <w:rFonts w:ascii="仿宋" w:hAnsi="仿宋" w:eastAsia="仿宋"/>
                <w:sz w:val="18"/>
                <w:szCs w:val="18"/>
              </w:rPr>
              <w:t>是否属于相互依存的关系，而非单方面的依赖；</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4、核查与该客户签订的</w:t>
            </w:r>
            <w:r>
              <w:rPr>
                <w:rFonts w:hint="eastAsia" w:ascii="仿宋" w:hAnsi="仿宋" w:eastAsia="仿宋"/>
                <w:sz w:val="18"/>
                <w:szCs w:val="18"/>
              </w:rPr>
              <w:t>合作</w:t>
            </w:r>
            <w:r>
              <w:rPr>
                <w:rFonts w:ascii="仿宋" w:hAnsi="仿宋" w:eastAsia="仿宋"/>
                <w:sz w:val="18"/>
                <w:szCs w:val="18"/>
              </w:rPr>
              <w:t>协议</w:t>
            </w:r>
            <w:r>
              <w:rPr>
                <w:rFonts w:hint="eastAsia" w:ascii="仿宋" w:hAnsi="仿宋" w:eastAsia="仿宋"/>
                <w:sz w:val="18"/>
                <w:szCs w:val="18"/>
              </w:rPr>
              <w:t>、销售合同等，</w:t>
            </w:r>
            <w:r>
              <w:rPr>
                <w:rFonts w:ascii="仿宋" w:hAnsi="仿宋" w:eastAsia="仿宋"/>
                <w:sz w:val="18"/>
                <w:szCs w:val="18"/>
              </w:rPr>
              <w:t>若有限制与其他客户合作的条款、或者同时存在采购等情况，关注是否符合持续经营的发行条件；</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5、</w:t>
            </w:r>
            <w:r>
              <w:rPr>
                <w:rFonts w:hint="eastAsia" w:ascii="仿宋" w:hAnsi="仿宋" w:eastAsia="仿宋"/>
                <w:sz w:val="18"/>
                <w:szCs w:val="18"/>
              </w:rPr>
              <w:t>了解发行人新</w:t>
            </w:r>
            <w:r>
              <w:rPr>
                <w:rFonts w:ascii="仿宋" w:hAnsi="仿宋" w:eastAsia="仿宋"/>
                <w:sz w:val="18"/>
                <w:szCs w:val="18"/>
              </w:rPr>
              <w:t>客户的开发情况。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blHeader/>
          <w:jc w:val="center"/>
        </w:trPr>
        <w:tc>
          <w:tcPr>
            <w:tcW w:w="938" w:type="pct"/>
            <w:vAlign w:val="center"/>
          </w:tcPr>
          <w:p>
            <w:pPr>
              <w:tabs>
                <w:tab w:val="left" w:pos="1080"/>
              </w:tabs>
              <w:spacing w:line="360" w:lineRule="auto"/>
              <w:ind w:left="-119"/>
              <w:rPr>
                <w:rFonts w:ascii="仿宋" w:hAnsi="仿宋" w:eastAsia="仿宋"/>
                <w:sz w:val="18"/>
                <w:szCs w:val="18"/>
              </w:rPr>
            </w:pPr>
            <w:r>
              <w:rPr>
                <w:rFonts w:hint="eastAsia" w:ascii="仿宋" w:hAnsi="仿宋" w:eastAsia="仿宋"/>
                <w:sz w:val="18"/>
                <w:szCs w:val="18"/>
              </w:rPr>
              <w:t>发行人的客户集中于国外某一地区</w:t>
            </w:r>
          </w:p>
        </w:tc>
        <w:tc>
          <w:tcPr>
            <w:tcW w:w="4062" w:type="pct"/>
            <w:vAlign w:val="center"/>
          </w:tcPr>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1、关注形成原因</w:t>
            </w:r>
            <w:r>
              <w:rPr>
                <w:rFonts w:hint="eastAsia" w:ascii="仿宋" w:hAnsi="仿宋" w:eastAsia="仿宋"/>
                <w:sz w:val="18"/>
                <w:szCs w:val="18"/>
              </w:rPr>
              <w:t>、</w:t>
            </w:r>
            <w:r>
              <w:rPr>
                <w:rFonts w:ascii="仿宋" w:hAnsi="仿宋" w:eastAsia="仿宋"/>
                <w:sz w:val="18"/>
                <w:szCs w:val="18"/>
              </w:rPr>
              <w:t>是否</w:t>
            </w:r>
            <w:r>
              <w:rPr>
                <w:rFonts w:hint="eastAsia" w:ascii="仿宋" w:hAnsi="仿宋" w:eastAsia="仿宋"/>
                <w:sz w:val="18"/>
                <w:szCs w:val="18"/>
              </w:rPr>
              <w:t>符合</w:t>
            </w:r>
            <w:r>
              <w:rPr>
                <w:rFonts w:ascii="仿宋" w:hAnsi="仿宋" w:eastAsia="仿宋"/>
                <w:sz w:val="18"/>
                <w:szCs w:val="18"/>
              </w:rPr>
              <w:t>行业</w:t>
            </w:r>
            <w:r>
              <w:rPr>
                <w:rFonts w:hint="eastAsia" w:ascii="仿宋" w:hAnsi="仿宋" w:eastAsia="仿宋"/>
                <w:sz w:val="18"/>
                <w:szCs w:val="18"/>
              </w:rPr>
              <w:t>特点，以及同行业上市公司客户分布情况</w:t>
            </w:r>
            <w:r>
              <w:rPr>
                <w:rFonts w:ascii="仿宋" w:hAnsi="仿宋" w:eastAsia="仿宋"/>
                <w:sz w:val="18"/>
                <w:szCs w:val="18"/>
              </w:rPr>
              <w:t>；</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2、收集中国出口信用保险公司等对该地区客户的资料，关注该等客户</w:t>
            </w:r>
            <w:r>
              <w:rPr>
                <w:rFonts w:hint="eastAsia" w:ascii="仿宋" w:hAnsi="仿宋" w:eastAsia="仿宋"/>
                <w:sz w:val="18"/>
                <w:szCs w:val="18"/>
              </w:rPr>
              <w:t>的</w:t>
            </w:r>
            <w:r>
              <w:rPr>
                <w:rFonts w:ascii="仿宋" w:hAnsi="仿宋" w:eastAsia="仿宋"/>
                <w:sz w:val="18"/>
                <w:szCs w:val="18"/>
              </w:rPr>
              <w:t>主营业务、财务状况等基本情况，并通过走访等恰当的方式予以验证；</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w:t>
            </w:r>
            <w:r>
              <w:rPr>
                <w:rFonts w:hint="eastAsia" w:ascii="仿宋" w:hAnsi="仿宋" w:eastAsia="仿宋"/>
                <w:sz w:val="18"/>
                <w:szCs w:val="18"/>
                <w:lang w:val="en-US" w:eastAsia="zh-CN"/>
              </w:rPr>
              <w:t xml:space="preserve"> </w:t>
            </w:r>
            <w:r>
              <w:rPr>
                <w:rFonts w:ascii="仿宋" w:hAnsi="仿宋" w:eastAsia="仿宋"/>
                <w:sz w:val="18"/>
                <w:szCs w:val="18"/>
              </w:rPr>
              <w:t xml:space="preserve"> 3、关注该地区的政治稳定、进口政策和贸易摩擦影响，及进口国同类产品的竞争格局等情况；</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4、</w:t>
            </w:r>
            <w:r>
              <w:rPr>
                <w:rFonts w:hint="eastAsia" w:ascii="仿宋" w:hAnsi="仿宋" w:eastAsia="仿宋"/>
                <w:sz w:val="18"/>
                <w:szCs w:val="18"/>
              </w:rPr>
              <w:t>了解</w:t>
            </w:r>
            <w:r>
              <w:rPr>
                <w:rFonts w:ascii="仿宋" w:hAnsi="仿宋" w:eastAsia="仿宋"/>
                <w:sz w:val="18"/>
                <w:szCs w:val="18"/>
              </w:rPr>
              <w:t>其他地区客户的开发情况。</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blHeader/>
          <w:jc w:val="center"/>
        </w:trPr>
        <w:tc>
          <w:tcPr>
            <w:tcW w:w="938" w:type="pct"/>
            <w:vAlign w:val="center"/>
          </w:tcPr>
          <w:p>
            <w:pPr>
              <w:tabs>
                <w:tab w:val="left" w:pos="1080"/>
              </w:tabs>
              <w:spacing w:line="360" w:lineRule="auto"/>
              <w:ind w:left="-119"/>
              <w:rPr>
                <w:rFonts w:ascii="仿宋" w:hAnsi="仿宋" w:eastAsia="仿宋"/>
                <w:sz w:val="18"/>
                <w:szCs w:val="18"/>
              </w:rPr>
            </w:pPr>
            <w:r>
              <w:rPr>
                <w:rFonts w:hint="eastAsia" w:ascii="仿宋" w:hAnsi="仿宋" w:eastAsia="仿宋"/>
                <w:sz w:val="18"/>
                <w:szCs w:val="18"/>
              </w:rPr>
              <w:t>客户可能是发行人董监高、核心技术人员及持股</w:t>
            </w:r>
            <w:r>
              <w:rPr>
                <w:rFonts w:ascii="仿宋" w:hAnsi="仿宋" w:eastAsia="仿宋"/>
                <w:sz w:val="18"/>
                <w:szCs w:val="18"/>
              </w:rPr>
              <w:t>5%以上股东的关联方或关系密切人士；报告期新进股东的关联方或关系密切人士、员工的家属或前员工</w:t>
            </w:r>
          </w:p>
        </w:tc>
        <w:tc>
          <w:tcPr>
            <w:tcW w:w="4062" w:type="pct"/>
            <w:vAlign w:val="center"/>
          </w:tcPr>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1、核查客户姓名(或名称)、身份证（或工商登记资料），并通过走访等恰当的方式予以验证</w:t>
            </w:r>
            <w:r>
              <w:rPr>
                <w:rFonts w:hint="eastAsia" w:ascii="仿宋" w:hAnsi="仿宋" w:eastAsia="仿宋"/>
                <w:sz w:val="18"/>
                <w:szCs w:val="18"/>
              </w:rPr>
              <w:t>；</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2、若确实存在关联关系的，应核查形成原因、报告期内交易的真实性和公允性、及获得确凿证据，并关注</w:t>
            </w:r>
            <w:r>
              <w:rPr>
                <w:rFonts w:hint="eastAsia" w:ascii="仿宋" w:hAnsi="仿宋" w:eastAsia="仿宋"/>
                <w:sz w:val="18"/>
                <w:szCs w:val="18"/>
              </w:rPr>
              <w:t>对发行人独立性的影响。</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blHeader/>
          <w:jc w:val="center"/>
        </w:trPr>
        <w:tc>
          <w:tcPr>
            <w:tcW w:w="1559" w:type="dxa"/>
            <w:vAlign w:val="center"/>
          </w:tcPr>
          <w:p>
            <w:pPr>
              <w:tabs>
                <w:tab w:val="left" w:pos="1080"/>
              </w:tabs>
              <w:spacing w:line="360" w:lineRule="auto"/>
              <w:ind w:left="-119" w:leftChars="0"/>
              <w:rPr>
                <w:rFonts w:hint="eastAsia" w:ascii="仿宋" w:hAnsi="仿宋" w:eastAsia="仿宋"/>
                <w:sz w:val="18"/>
                <w:szCs w:val="18"/>
              </w:rPr>
            </w:pPr>
            <w:r>
              <w:rPr>
                <w:rFonts w:hint="eastAsia" w:ascii="仿宋" w:hAnsi="仿宋" w:eastAsia="仿宋"/>
                <w:sz w:val="18"/>
                <w:szCs w:val="18"/>
              </w:rPr>
              <w:t>客户原为发行人关联方，后通过转让股权，成为非关联方</w:t>
            </w:r>
          </w:p>
        </w:tc>
        <w:tc>
          <w:tcPr>
            <w:tcW w:w="6753" w:type="dxa"/>
            <w:vAlign w:val="center"/>
          </w:tcPr>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1、核查受让方的身份、股权价款的支付，</w:t>
            </w:r>
            <w:r>
              <w:rPr>
                <w:rFonts w:hint="eastAsia" w:ascii="仿宋" w:hAnsi="仿宋" w:eastAsia="仿宋"/>
                <w:sz w:val="18"/>
                <w:szCs w:val="18"/>
              </w:rPr>
              <w:t>核查是否通过股权代持等方式进行“去关联化”处理，并通过走访等恰当的方式予以验证；</w:t>
            </w:r>
          </w:p>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2、核查报告期内交易的真实性和公允性，及获得</w:t>
            </w:r>
            <w:r>
              <w:rPr>
                <w:rFonts w:hint="eastAsia" w:ascii="仿宋" w:hAnsi="仿宋" w:eastAsia="仿宋"/>
                <w:sz w:val="18"/>
                <w:szCs w:val="18"/>
              </w:rPr>
              <w:t>相应的证据；</w:t>
            </w:r>
          </w:p>
          <w:p>
            <w:pPr>
              <w:tabs>
                <w:tab w:val="left" w:pos="1080"/>
              </w:tabs>
              <w:spacing w:line="360" w:lineRule="auto"/>
              <w:ind w:left="-119" w:leftChars="0"/>
              <w:rPr>
                <w:rFonts w:ascii="仿宋" w:hAnsi="仿宋" w:eastAsia="仿宋"/>
                <w:sz w:val="18"/>
                <w:szCs w:val="18"/>
              </w:rPr>
            </w:pPr>
            <w:r>
              <w:rPr>
                <w:rFonts w:ascii="仿宋" w:hAnsi="仿宋" w:eastAsia="仿宋"/>
                <w:sz w:val="18"/>
                <w:szCs w:val="18"/>
              </w:rPr>
              <w:t xml:space="preserve">    3、关注去关联化后的交易情况，分析其商业逻辑、具体条款是否正常。</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blHeader/>
          <w:jc w:val="center"/>
        </w:trPr>
        <w:tc>
          <w:tcPr>
            <w:tcW w:w="1559" w:type="dxa"/>
            <w:vAlign w:val="center"/>
          </w:tcPr>
          <w:p>
            <w:pPr>
              <w:tabs>
                <w:tab w:val="left" w:pos="1080"/>
              </w:tabs>
              <w:spacing w:line="360" w:lineRule="auto"/>
              <w:ind w:left="-119" w:leftChars="0"/>
              <w:rPr>
                <w:rFonts w:hint="eastAsia" w:ascii="仿宋" w:hAnsi="仿宋" w:eastAsia="仿宋"/>
                <w:sz w:val="18"/>
                <w:szCs w:val="18"/>
              </w:rPr>
            </w:pPr>
            <w:r>
              <w:rPr>
                <w:rFonts w:hint="eastAsia" w:ascii="仿宋" w:hAnsi="仿宋" w:eastAsia="仿宋"/>
                <w:sz w:val="18"/>
                <w:szCs w:val="18"/>
              </w:rPr>
              <w:t>经销商、加盟店无纳税申报表及相关财务资料，比如为个体户</w:t>
            </w:r>
          </w:p>
        </w:tc>
        <w:tc>
          <w:tcPr>
            <w:tcW w:w="6753" w:type="dxa"/>
            <w:vAlign w:val="center"/>
          </w:tcPr>
          <w:p>
            <w:pPr>
              <w:tabs>
                <w:tab w:val="left" w:pos="1080"/>
              </w:tabs>
              <w:spacing w:line="360" w:lineRule="auto"/>
              <w:ind w:left="-119"/>
              <w:rPr>
                <w:rFonts w:ascii="仿宋" w:hAnsi="仿宋" w:eastAsia="仿宋"/>
                <w:sz w:val="18"/>
                <w:szCs w:val="18"/>
              </w:rPr>
            </w:pPr>
            <w:r>
              <w:rPr>
                <w:rFonts w:ascii="仿宋" w:hAnsi="仿宋" w:eastAsia="仿宋"/>
                <w:sz w:val="18"/>
                <w:szCs w:val="18"/>
              </w:rPr>
              <w:t xml:space="preserve">    1、关注对报表可信度的影响，</w:t>
            </w:r>
            <w:r>
              <w:rPr>
                <w:rFonts w:hint="eastAsia" w:ascii="仿宋" w:hAnsi="仿宋" w:eastAsia="仿宋"/>
                <w:sz w:val="18"/>
                <w:szCs w:val="18"/>
              </w:rPr>
              <w:t>并重点关注内部控制及税务方面的风险，并对重要客户通过走访、实地查看等方式予以验证；</w:t>
            </w:r>
          </w:p>
          <w:p>
            <w:pPr>
              <w:tabs>
                <w:tab w:val="left" w:pos="1080"/>
              </w:tabs>
              <w:spacing w:line="360" w:lineRule="auto"/>
              <w:ind w:left="-119" w:leftChars="0"/>
              <w:rPr>
                <w:rFonts w:ascii="仿宋" w:hAnsi="仿宋" w:eastAsia="仿宋"/>
                <w:sz w:val="18"/>
                <w:szCs w:val="18"/>
              </w:rPr>
            </w:pPr>
            <w:r>
              <w:rPr>
                <w:rFonts w:ascii="仿宋" w:hAnsi="仿宋" w:eastAsia="仿宋"/>
                <w:sz w:val="18"/>
                <w:szCs w:val="18"/>
              </w:rPr>
              <w:t xml:space="preserve">    2、关注形成原因是否为行业普遍现象。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blHeader/>
          <w:jc w:val="center"/>
        </w:trPr>
        <w:tc>
          <w:tcPr>
            <w:tcW w:w="1559" w:type="dxa"/>
            <w:vAlign w:val="center"/>
          </w:tcPr>
          <w:p>
            <w:pPr>
              <w:tabs>
                <w:tab w:val="left" w:pos="1080"/>
              </w:tabs>
              <w:spacing w:line="360" w:lineRule="auto"/>
              <w:ind w:left="-119" w:leftChars="0"/>
              <w:rPr>
                <w:rFonts w:hint="eastAsia" w:ascii="仿宋" w:hAnsi="仿宋" w:eastAsia="仿宋"/>
                <w:sz w:val="18"/>
                <w:szCs w:val="18"/>
              </w:rPr>
            </w:pPr>
            <w:r>
              <w:rPr>
                <w:rFonts w:hint="eastAsia" w:ascii="仿宋" w:hAnsi="仿宋" w:eastAsia="仿宋"/>
                <w:sz w:val="18"/>
                <w:szCs w:val="18"/>
              </w:rPr>
              <w:t>经销商、加盟店等进货情况与其所在区域或经营规模严重不匹配</w:t>
            </w:r>
          </w:p>
        </w:tc>
        <w:tc>
          <w:tcPr>
            <w:tcW w:w="6753" w:type="dxa"/>
            <w:vAlign w:val="center"/>
          </w:tcPr>
          <w:p>
            <w:pPr>
              <w:tabs>
                <w:tab w:val="left" w:pos="1080"/>
              </w:tabs>
              <w:spacing w:line="360" w:lineRule="auto"/>
              <w:ind w:left="-119" w:leftChars="0"/>
              <w:rPr>
                <w:rFonts w:ascii="仿宋" w:hAnsi="仿宋" w:eastAsia="仿宋"/>
                <w:sz w:val="18"/>
                <w:szCs w:val="18"/>
              </w:rPr>
            </w:pPr>
            <w:r>
              <w:rPr>
                <w:rFonts w:ascii="仿宋" w:hAnsi="仿宋" w:eastAsia="仿宋"/>
                <w:sz w:val="18"/>
                <w:szCs w:val="18"/>
              </w:rPr>
              <w:t xml:space="preserve">    </w:t>
            </w:r>
            <w:r>
              <w:rPr>
                <w:rFonts w:hint="eastAsia" w:ascii="仿宋" w:hAnsi="仿宋" w:eastAsia="仿宋"/>
                <w:sz w:val="18"/>
                <w:szCs w:val="18"/>
              </w:rPr>
              <w:t>了解该客户进货量大幅超越其所在区域同等规模客户平均水平的原因，通过走访、实地查看等方式予以验证。</w:t>
            </w:r>
          </w:p>
        </w:tc>
      </w:tr>
    </w:tbl>
    <w:p>
      <w:pPr>
        <w:adjustRightInd w:val="0"/>
        <w:snapToGrid w:val="0"/>
        <w:spacing w:line="360" w:lineRule="auto"/>
        <w:rPr>
          <w:rFonts w:hint="eastAsia" w:ascii="仿宋_GB2312" w:hAnsi="宋体" w:eastAsia="仿宋_GB2312"/>
          <w:color w:val="000000" w:themeColor="text1"/>
          <w:sz w:val="32"/>
          <w:szCs w:val="32"/>
          <w14:textFill>
            <w14:solidFill>
              <w14:schemeClr w14:val="tx1"/>
            </w14:solidFill>
          </w14:textFill>
        </w:rPr>
      </w:pPr>
    </w:p>
    <w:tbl>
      <w:tblPr>
        <w:tblStyle w:val="22"/>
        <w:tblW w:w="5000" w:type="pct"/>
        <w:jc w:val="center"/>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1600"/>
        <w:gridCol w:w="6928"/>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PrEx>
        <w:trPr>
          <w:tblHeader/>
          <w:jc w:val="center"/>
        </w:trPr>
        <w:tc>
          <w:tcPr>
            <w:tcW w:w="938" w:type="pct"/>
            <w:tcBorders>
              <w:top w:val="single" w:color="auto" w:sz="12" w:space="0"/>
              <w:bottom w:val="dotted" w:color="auto" w:sz="4" w:space="0"/>
            </w:tcBorders>
            <w:shd w:val="pct10" w:color="auto" w:fill="auto"/>
            <w:vAlign w:val="center"/>
          </w:tcPr>
          <w:p>
            <w:pPr>
              <w:tabs>
                <w:tab w:val="left" w:pos="1080"/>
              </w:tabs>
              <w:spacing w:line="360" w:lineRule="auto"/>
              <w:ind w:left="-119"/>
              <w:jc w:val="center"/>
              <w:rPr>
                <w:rFonts w:ascii="仿宋" w:hAnsi="仿宋" w:eastAsia="仿宋"/>
                <w:b/>
                <w:szCs w:val="21"/>
              </w:rPr>
            </w:pPr>
            <w:bookmarkStart w:id="89" w:name="_Hlk105939760"/>
            <w:r>
              <w:rPr>
                <w:rFonts w:hint="eastAsia" w:ascii="仿宋" w:hAnsi="仿宋" w:eastAsia="仿宋"/>
                <w:b/>
                <w:szCs w:val="21"/>
              </w:rPr>
              <w:t>异常或需重点关注情况</w:t>
            </w:r>
          </w:p>
        </w:tc>
        <w:tc>
          <w:tcPr>
            <w:tcW w:w="4061" w:type="pct"/>
            <w:tcBorders>
              <w:top w:val="single" w:color="auto" w:sz="12" w:space="0"/>
              <w:bottom w:val="dotted" w:color="auto" w:sz="4" w:space="0"/>
            </w:tcBorders>
            <w:shd w:val="pct10" w:color="auto" w:fill="auto"/>
            <w:vAlign w:val="center"/>
          </w:tcPr>
          <w:p>
            <w:pPr>
              <w:tabs>
                <w:tab w:val="left" w:pos="1080"/>
              </w:tabs>
              <w:spacing w:line="360" w:lineRule="auto"/>
              <w:ind w:left="-119"/>
              <w:jc w:val="center"/>
              <w:rPr>
                <w:rFonts w:ascii="仿宋" w:hAnsi="仿宋" w:eastAsia="仿宋"/>
                <w:b/>
                <w:szCs w:val="21"/>
              </w:rPr>
            </w:pPr>
            <w:r>
              <w:rPr>
                <w:rFonts w:hint="eastAsia" w:ascii="仿宋" w:hAnsi="仿宋" w:eastAsia="仿宋"/>
                <w:b/>
                <w:szCs w:val="21"/>
              </w:rPr>
              <w:t>核查中需关注的内容</w:t>
            </w:r>
          </w:p>
        </w:tc>
      </w:tr>
      <w:bookmarkEnd w:id="89"/>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696" w:hRule="atLeast"/>
          <w:tblHeader/>
          <w:jc w:val="center"/>
        </w:trPr>
        <w:tc>
          <w:tcPr>
            <w:tcW w:w="938" w:type="pct"/>
            <w:vAlign w:val="center"/>
          </w:tcPr>
          <w:p>
            <w:pPr>
              <w:tabs>
                <w:tab w:val="left" w:pos="1080"/>
              </w:tabs>
              <w:spacing w:line="360" w:lineRule="auto"/>
              <w:ind w:left="-119"/>
              <w:rPr>
                <w:rFonts w:ascii="仿宋" w:hAnsi="仿宋" w:eastAsia="仿宋"/>
                <w:sz w:val="18"/>
                <w:szCs w:val="18"/>
              </w:rPr>
            </w:pPr>
            <w:r>
              <w:rPr>
                <w:rFonts w:hint="eastAsia" w:ascii="仿宋" w:hAnsi="仿宋" w:eastAsia="仿宋"/>
                <w:sz w:val="18"/>
                <w:szCs w:val="18"/>
              </w:rPr>
              <w:t>关联方与发行人存在客户重合</w:t>
            </w:r>
          </w:p>
        </w:tc>
        <w:tc>
          <w:tcPr>
            <w:tcW w:w="4061" w:type="pct"/>
            <w:shd w:val="clear" w:color="auto" w:fill="auto"/>
            <w:vAlign w:val="center"/>
          </w:tcPr>
          <w:p>
            <w:pPr>
              <w:tabs>
                <w:tab w:val="left" w:pos="1080"/>
              </w:tabs>
              <w:spacing w:line="360" w:lineRule="auto"/>
              <w:ind w:left="-119" w:firstLine="360" w:firstLineChars="200"/>
              <w:rPr>
                <w:rFonts w:ascii="仿宋" w:hAnsi="仿宋" w:eastAsia="仿宋"/>
                <w:sz w:val="18"/>
                <w:szCs w:val="18"/>
              </w:rPr>
            </w:pPr>
            <w:r>
              <w:rPr>
                <w:rFonts w:ascii="仿宋" w:hAnsi="仿宋" w:eastAsia="仿宋"/>
                <w:sz w:val="18"/>
                <w:szCs w:val="18"/>
              </w:rPr>
              <w:t>1、关注该情况形成的原因，</w:t>
            </w:r>
            <w:r>
              <w:rPr>
                <w:rFonts w:hint="eastAsia" w:ascii="仿宋" w:hAnsi="仿宋" w:eastAsia="仿宋"/>
                <w:sz w:val="18"/>
                <w:szCs w:val="18"/>
              </w:rPr>
              <w:t>了解</w:t>
            </w:r>
            <w:r>
              <w:rPr>
                <w:rFonts w:ascii="仿宋" w:hAnsi="仿宋" w:eastAsia="仿宋"/>
                <w:sz w:val="18"/>
                <w:szCs w:val="18"/>
              </w:rPr>
              <w:t>对</w:t>
            </w:r>
            <w:r>
              <w:rPr>
                <w:rFonts w:hint="eastAsia" w:ascii="仿宋" w:hAnsi="仿宋" w:eastAsia="仿宋"/>
                <w:sz w:val="18"/>
                <w:szCs w:val="18"/>
              </w:rPr>
              <w:t>发行人持续经营、独立性等方面的影响；</w:t>
            </w:r>
          </w:p>
          <w:p>
            <w:pPr>
              <w:tabs>
                <w:tab w:val="left" w:pos="1080"/>
              </w:tabs>
              <w:spacing w:line="360" w:lineRule="auto"/>
              <w:ind w:left="-119" w:firstLine="360" w:firstLineChars="200"/>
              <w:rPr>
                <w:rFonts w:ascii="仿宋" w:hAnsi="仿宋" w:eastAsia="仿宋"/>
                <w:sz w:val="18"/>
                <w:szCs w:val="18"/>
              </w:rPr>
            </w:pPr>
            <w:r>
              <w:rPr>
                <w:rFonts w:ascii="仿宋" w:hAnsi="仿宋" w:eastAsia="仿宋"/>
                <w:sz w:val="18"/>
                <w:szCs w:val="18"/>
              </w:rPr>
              <w:t>2</w:t>
            </w:r>
            <w:r>
              <w:rPr>
                <w:rFonts w:hint="eastAsia" w:ascii="仿宋" w:hAnsi="仿宋" w:eastAsia="仿宋"/>
                <w:sz w:val="18"/>
                <w:szCs w:val="18"/>
              </w:rPr>
              <w:t>、了解</w:t>
            </w:r>
            <w:r>
              <w:rPr>
                <w:rFonts w:ascii="仿宋" w:hAnsi="仿宋" w:eastAsia="仿宋"/>
                <w:sz w:val="18"/>
                <w:szCs w:val="18"/>
              </w:rPr>
              <w:t>发行</w:t>
            </w:r>
            <w:r>
              <w:rPr>
                <w:rFonts w:hint="eastAsia" w:ascii="仿宋" w:hAnsi="仿宋" w:eastAsia="仿宋"/>
                <w:sz w:val="18"/>
                <w:szCs w:val="18"/>
              </w:rPr>
              <w:t>人和</w:t>
            </w:r>
            <w:r>
              <w:rPr>
                <w:rFonts w:ascii="仿宋" w:hAnsi="仿宋" w:eastAsia="仿宋"/>
                <w:sz w:val="18"/>
                <w:szCs w:val="18"/>
              </w:rPr>
              <w:t>关联方</w:t>
            </w:r>
            <w:r>
              <w:rPr>
                <w:rFonts w:hint="eastAsia" w:ascii="仿宋" w:hAnsi="仿宋" w:eastAsia="仿宋"/>
                <w:sz w:val="18"/>
                <w:szCs w:val="18"/>
              </w:rPr>
              <w:t>的</w:t>
            </w:r>
            <w:r>
              <w:rPr>
                <w:rFonts w:ascii="仿宋" w:hAnsi="仿宋" w:eastAsia="仿宋"/>
                <w:sz w:val="18"/>
                <w:szCs w:val="18"/>
              </w:rPr>
              <w:t>产品在该</w:t>
            </w:r>
            <w:r>
              <w:rPr>
                <w:rFonts w:hint="eastAsia" w:ascii="仿宋" w:hAnsi="仿宋" w:eastAsia="仿宋"/>
                <w:sz w:val="18"/>
                <w:szCs w:val="18"/>
              </w:rPr>
              <w:t>客户</w:t>
            </w:r>
            <w:r>
              <w:rPr>
                <w:rFonts w:ascii="仿宋" w:hAnsi="仿宋" w:eastAsia="仿宋"/>
                <w:sz w:val="18"/>
                <w:szCs w:val="18"/>
              </w:rPr>
              <w:t>销售额中的</w:t>
            </w:r>
            <w:r>
              <w:rPr>
                <w:rFonts w:hint="eastAsia" w:ascii="仿宋" w:hAnsi="仿宋" w:eastAsia="仿宋"/>
                <w:sz w:val="18"/>
                <w:szCs w:val="18"/>
              </w:rPr>
              <w:t>占比情况</w:t>
            </w:r>
            <w:r>
              <w:rPr>
                <w:rFonts w:ascii="仿宋" w:hAnsi="仿宋" w:eastAsia="仿宋"/>
                <w:sz w:val="18"/>
                <w:szCs w:val="18"/>
              </w:rPr>
              <w:t>，关注</w:t>
            </w:r>
            <w:r>
              <w:rPr>
                <w:rFonts w:hint="eastAsia" w:ascii="仿宋" w:hAnsi="仿宋" w:eastAsia="仿宋"/>
                <w:sz w:val="18"/>
                <w:szCs w:val="18"/>
              </w:rPr>
              <w:t>客户</w:t>
            </w:r>
            <w:r>
              <w:rPr>
                <w:rFonts w:ascii="仿宋" w:hAnsi="仿宋" w:eastAsia="仿宋"/>
                <w:sz w:val="18"/>
                <w:szCs w:val="18"/>
              </w:rPr>
              <w:t>的日常管理、关系维护、销售</w:t>
            </w:r>
            <w:r>
              <w:rPr>
                <w:rFonts w:hint="eastAsia" w:ascii="仿宋" w:hAnsi="仿宋" w:eastAsia="仿宋"/>
                <w:sz w:val="18"/>
                <w:szCs w:val="18"/>
              </w:rPr>
              <w:t>返利</w:t>
            </w:r>
            <w:r>
              <w:rPr>
                <w:rFonts w:ascii="仿宋" w:hAnsi="仿宋" w:eastAsia="仿宋"/>
                <w:sz w:val="18"/>
                <w:szCs w:val="18"/>
              </w:rPr>
              <w:t>等</w:t>
            </w:r>
            <w:r>
              <w:rPr>
                <w:rFonts w:hint="eastAsia" w:ascii="仿宋" w:hAnsi="仿宋" w:eastAsia="仿宋"/>
                <w:sz w:val="18"/>
                <w:szCs w:val="18"/>
              </w:rPr>
              <w:t>支出</w:t>
            </w:r>
            <w:r>
              <w:rPr>
                <w:rFonts w:ascii="仿宋" w:hAnsi="仿宋" w:eastAsia="仿宋"/>
                <w:sz w:val="18"/>
                <w:szCs w:val="18"/>
              </w:rPr>
              <w:t>在发行人</w:t>
            </w:r>
            <w:r>
              <w:rPr>
                <w:rFonts w:hint="eastAsia" w:ascii="仿宋" w:hAnsi="仿宋" w:eastAsia="仿宋"/>
                <w:sz w:val="18"/>
                <w:szCs w:val="18"/>
              </w:rPr>
              <w:t>、关联方</w:t>
            </w:r>
            <w:r>
              <w:rPr>
                <w:rFonts w:ascii="仿宋" w:hAnsi="仿宋" w:eastAsia="仿宋"/>
                <w:sz w:val="18"/>
                <w:szCs w:val="18"/>
              </w:rPr>
              <w:t>之间分担的情况</w:t>
            </w:r>
            <w:r>
              <w:rPr>
                <w:rFonts w:hint="eastAsia" w:ascii="仿宋" w:hAnsi="仿宋" w:eastAsia="仿宋"/>
                <w:sz w:val="18"/>
                <w:szCs w:val="18"/>
              </w:rPr>
              <w:t>，核查是否通过分担费用等手段影响发行人业绩的真实性。</w:t>
            </w:r>
          </w:p>
        </w:tc>
      </w:tr>
    </w:tbl>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bookmarkStart w:id="90" w:name="_Toc475710409"/>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、销售中存在大额现金收款</w:t>
      </w:r>
      <w:bookmarkEnd w:id="90"/>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大额现金收款原则上是指采用现金方式收取销售款占报</w:t>
      </w:r>
      <w:r>
        <w:rPr>
          <w:rFonts w:ascii="仿宋_GB2312" w:hAnsi="宋体" w:eastAsia="仿宋_GB2312"/>
          <w:color w:val="000000" w:themeColor="text1"/>
          <w:sz w:val="32"/>
          <w:szCs w:val="32"/>
          <w14:textFill>
            <w14:solidFill>
              <w14:schemeClr w14:val="tx1"/>
            </w14:solidFill>
          </w14:textFill>
        </w:rPr>
        <w:t>告期任意一期</w:t>
      </w:r>
      <w:r>
        <w:rPr>
          <w:rFonts w:hint="eastAsia" w:ascii="仿宋_GB2312" w:hAnsi="宋体" w:eastAsia="仿宋_GB2312"/>
          <w:color w:val="000000" w:themeColor="text1"/>
          <w:sz w:val="32"/>
          <w:szCs w:val="32"/>
          <w14:textFill>
            <w14:solidFill>
              <w14:schemeClr w14:val="tx1"/>
            </w14:solidFill>
          </w14:textFill>
        </w:rPr>
        <w:t>的销售比例高于</w:t>
      </w:r>
      <w:r>
        <w:rPr>
          <w:rFonts w:ascii="仿宋_GB2312" w:hAnsi="宋体" w:eastAsia="仿宋_GB2312"/>
          <w:color w:val="000000" w:themeColor="text1"/>
          <w:sz w:val="32"/>
          <w:szCs w:val="32"/>
          <w14:textFill>
            <w14:solidFill>
              <w14:schemeClr w14:val="tx1"/>
            </w14:solidFill>
          </w14:textFill>
        </w:rPr>
        <w:t>10%</w:t>
      </w:r>
      <w:r>
        <w:rPr>
          <w:rFonts w:hint="eastAsia" w:ascii="仿宋_GB2312" w:hAnsi="宋体" w:eastAsia="仿宋_GB2312"/>
          <w:color w:val="000000" w:themeColor="text1"/>
          <w:sz w:val="32"/>
          <w:szCs w:val="32"/>
          <w14:textFill>
            <w14:solidFill>
              <w14:schemeClr w14:val="tx1"/>
            </w14:solidFill>
          </w14:textFill>
        </w:rPr>
        <w:t>。发行人销售过程中，存在大额现金收款的，尽职调查中应关注：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1）了解发行人的商业模式，现金收支产生的主要原因，判断发行人现金收支的商业合理性；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核查发行人是否建立了完善的现金收支制度、销售制度等，相关内控制度的运行是否有效；</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3）核查报告期内的现金流水明细账和银行明细账</w:t>
      </w:r>
      <w:r>
        <w:rPr>
          <w:rFonts w:hint="eastAsia" w:ascii="仿宋_GB2312" w:hAnsi="宋体" w:eastAsia="仿宋_GB2312"/>
          <w:color w:val="000000" w:themeColor="text1"/>
          <w:sz w:val="32"/>
          <w:szCs w:val="32"/>
          <w14:textFill>
            <w14:solidFill>
              <w14:schemeClr w14:val="tx1"/>
            </w14:solidFill>
          </w14:textFill>
        </w:rPr>
        <w:t>，核对现金流水明细的金额、时点是否与银行明细账是否存在时点的逻辑关系（关注是否将收取的现金及时缴存银行、是否存在坐支现金的情形）；</w:t>
      </w:r>
      <w:r>
        <w:rPr>
          <w:rFonts w:ascii="仿宋_GB2312" w:hAnsi="宋体" w:eastAsia="仿宋_GB2312"/>
          <w:color w:val="000000" w:themeColor="text1"/>
          <w:sz w:val="32"/>
          <w:szCs w:val="32"/>
          <w14:textFill>
            <w14:solidFill>
              <w14:schemeClr w14:val="tx1"/>
            </w14:solidFill>
          </w14:textFill>
        </w:rPr>
        <w:t xml:space="preserve"> </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核查与主要客户之间的销售合同是否真实、合法、有效，与客户是否存在关联关系，是否可能存在通过不当方式来操纵或影响公司利润情形；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5）取得现金收款交易的支持性文件</w:t>
      </w:r>
      <w:r>
        <w:rPr>
          <w:rFonts w:hint="eastAsia" w:ascii="仿宋_GB2312" w:hAnsi="宋体" w:eastAsia="仿宋_GB2312"/>
          <w:color w:val="000000" w:themeColor="text1"/>
          <w:sz w:val="32"/>
          <w:szCs w:val="32"/>
          <w14:textFill>
            <w14:solidFill>
              <w14:schemeClr w14:val="tx1"/>
            </w14:solidFill>
          </w14:textFill>
        </w:rPr>
        <w:t>，如销售环节的出库单、运输单、销售客户的签收单；</w:t>
      </w:r>
      <w:r>
        <w:rPr>
          <w:rFonts w:ascii="仿宋_GB2312" w:hAnsi="宋体" w:eastAsia="仿宋_GB2312"/>
          <w:color w:val="000000" w:themeColor="text1"/>
          <w:sz w:val="32"/>
          <w:szCs w:val="32"/>
          <w14:textFill>
            <w14:solidFill>
              <w14:schemeClr w14:val="tx1"/>
            </w14:solidFill>
          </w14:textFill>
        </w:rPr>
        <w:t xml:space="preserve"> </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）对主要客户的经营能力、经营场所、经营范围、下游客户进行分析和核查，核查其与发行人存在大量现金交易商业逻辑的合理性和真实性；如果主要客户属于经销商，应进一步核查最终销售的实现情况。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bookmarkStart w:id="91" w:name="_Toc475710410"/>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、销售存在自然人银行卡代收销售款</w:t>
      </w:r>
      <w:bookmarkEnd w:id="91"/>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大额自然人银行卡代收销售款原则上是指累计代收销售款占报</w:t>
      </w:r>
      <w:r>
        <w:rPr>
          <w:rFonts w:ascii="仿宋_GB2312" w:hAnsi="宋体" w:eastAsia="仿宋_GB2312"/>
          <w:color w:val="000000" w:themeColor="text1"/>
          <w:sz w:val="32"/>
          <w:szCs w:val="32"/>
          <w14:textFill>
            <w14:solidFill>
              <w14:schemeClr w14:val="tx1"/>
            </w14:solidFill>
          </w14:textFill>
        </w:rPr>
        <w:t>告期任意一期</w:t>
      </w:r>
      <w:r>
        <w:rPr>
          <w:rFonts w:hint="eastAsia" w:ascii="仿宋_GB2312" w:hAnsi="宋体" w:eastAsia="仿宋_GB2312"/>
          <w:color w:val="000000" w:themeColor="text1"/>
          <w:sz w:val="32"/>
          <w:szCs w:val="32"/>
          <w14:textFill>
            <w14:solidFill>
              <w14:schemeClr w14:val="tx1"/>
            </w14:solidFill>
          </w14:textFill>
        </w:rPr>
        <w:t>的销售比例高于</w:t>
      </w:r>
      <w:r>
        <w:rPr>
          <w:rFonts w:ascii="仿宋_GB2312" w:hAnsi="宋体" w:eastAsia="仿宋_GB2312"/>
          <w:color w:val="000000" w:themeColor="text1"/>
          <w:sz w:val="32"/>
          <w:szCs w:val="32"/>
          <w14:textFill>
            <w14:solidFill>
              <w14:schemeClr w14:val="tx1"/>
            </w14:solidFill>
          </w14:textFill>
        </w:rPr>
        <w:t>10%</w:t>
      </w:r>
      <w:r>
        <w:rPr>
          <w:rFonts w:hint="eastAsia" w:ascii="仿宋_GB2312" w:hAnsi="宋体" w:eastAsia="仿宋_GB2312"/>
          <w:color w:val="000000" w:themeColor="text1"/>
          <w:sz w:val="32"/>
          <w:szCs w:val="32"/>
          <w14:textFill>
            <w14:solidFill>
              <w14:schemeClr w14:val="tx1"/>
            </w14:solidFill>
          </w14:textFill>
        </w:rPr>
        <w:t>。发行人销售过程中，存在大额自然人银行卡代收销售款的，保荐人在尽调调查中采取：</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了解自然人银行卡代收销售款形成的原因、金额，是否符合行业惯例，以及报告期内的整改情况；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w:t>
      </w:r>
      <w:r>
        <w:rPr>
          <w:rFonts w:ascii="仿宋_GB2312" w:hAnsi="宋体" w:eastAsia="仿宋_GB2312"/>
          <w:color w:val="000000" w:themeColor="text1"/>
          <w:sz w:val="32"/>
          <w:szCs w:val="32"/>
          <w14:textFill>
            <w14:solidFill>
              <w14:schemeClr w14:val="tx1"/>
            </w14:solidFill>
          </w14:textFill>
        </w:rPr>
        <w:t>了解上述自然人是否在公司担任职务，判断现金收款是因为其职务、或其所涉及的交易活动特性所造成，还是由于其特殊的身份所造成（例如，该自然人为发行人的实际控制人或其近亲属）；</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3）检查发行人内部是否对于上述自然人账户的使用设立了完善的</w:t>
      </w:r>
      <w:r>
        <w:rPr>
          <w:rFonts w:hint="eastAsia" w:ascii="仿宋_GB2312" w:hAnsi="宋体" w:eastAsia="仿宋_GB2312"/>
          <w:color w:val="000000" w:themeColor="text1"/>
          <w:sz w:val="32"/>
          <w:szCs w:val="32"/>
          <w14:textFill>
            <w14:solidFill>
              <w14:schemeClr w14:val="tx1"/>
            </w14:solidFill>
          </w14:textFill>
        </w:rPr>
        <w:t>内控制度，如是否专卡专用，是否纳入发行人的日常财务管理中，相关内控制度是否有效运行；</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4）取得</w:t>
      </w:r>
      <w:r>
        <w:rPr>
          <w:rFonts w:hint="eastAsia" w:ascii="仿宋_GB2312" w:hAnsi="宋体" w:eastAsia="仿宋_GB2312"/>
          <w:color w:val="000000" w:themeColor="text1"/>
          <w:sz w:val="32"/>
          <w:szCs w:val="32"/>
          <w14:textFill>
            <w14:solidFill>
              <w14:schemeClr w14:val="tx1"/>
            </w14:solidFill>
          </w14:textFill>
        </w:rPr>
        <w:t>代收款</w:t>
      </w:r>
      <w:r>
        <w:rPr>
          <w:rFonts w:ascii="仿宋_GB2312" w:hAnsi="宋体" w:eastAsia="仿宋_GB2312"/>
          <w:color w:val="000000" w:themeColor="text1"/>
          <w:sz w:val="32"/>
          <w:szCs w:val="32"/>
          <w14:textFill>
            <w14:solidFill>
              <w14:schemeClr w14:val="tx1"/>
            </w14:solidFill>
          </w14:textFill>
        </w:rPr>
        <w:t>账户的银行对账单</w:t>
      </w:r>
      <w:r>
        <w:rPr>
          <w:rFonts w:hint="eastAsia" w:ascii="仿宋_GB2312" w:hAnsi="宋体" w:eastAsia="仿宋_GB2312"/>
          <w:color w:val="000000" w:themeColor="text1"/>
          <w:sz w:val="32"/>
          <w:szCs w:val="32"/>
          <w14:textFill>
            <w14:solidFill>
              <w14:schemeClr w14:val="tx1"/>
            </w14:solidFill>
          </w14:textFill>
        </w:rPr>
        <w:t>，核查相关账户的资金的流入和流出是否与发行人的销售收款有对应关系，是否在收款后及时转存在发行人的银行账户；</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5）核查是否存在坐支现金的情形，是否存在与个人收支混同的情形，是否存在替发行人承担成本费用的情形；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6）核查上述自然人账户的开户人与发行人及其控股股东、实际控制人、董</w:t>
      </w:r>
      <w:r>
        <w:rPr>
          <w:rFonts w:hint="eastAsia" w:ascii="仿宋_GB2312" w:hAnsi="宋体" w:eastAsia="仿宋_GB2312"/>
          <w:color w:val="000000" w:themeColor="text1"/>
          <w:sz w:val="32"/>
          <w:szCs w:val="32"/>
          <w14:textFill>
            <w14:solidFill>
              <w14:schemeClr w14:val="tx1"/>
            </w14:solidFill>
          </w14:textFill>
        </w:rPr>
        <w:t>监高是否存在关联关系；</w:t>
      </w:r>
      <w:r>
        <w:rPr>
          <w:rFonts w:ascii="仿宋_GB2312" w:hAnsi="宋体" w:eastAsia="仿宋_GB2312"/>
          <w:color w:val="000000" w:themeColor="text1"/>
          <w:sz w:val="32"/>
          <w:szCs w:val="32"/>
          <w14:textFill>
            <w14:solidFill>
              <w14:schemeClr w14:val="tx1"/>
            </w14:solidFill>
          </w14:textFill>
        </w:rPr>
        <w:t xml:space="preserve"> </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7）核对资金流入的时点、资金流入的频次、单笔发生金额是否存在</w:t>
      </w:r>
      <w:r>
        <w:rPr>
          <w:rFonts w:hint="eastAsia" w:ascii="仿宋_GB2312" w:hAnsi="宋体" w:eastAsia="仿宋_GB2312"/>
          <w:color w:val="000000" w:themeColor="text1"/>
          <w:sz w:val="32"/>
          <w:szCs w:val="32"/>
          <w14:textFill>
            <w14:solidFill>
              <w14:schemeClr w14:val="tx1"/>
            </w14:solidFill>
          </w14:textFill>
        </w:rPr>
        <w:t>固定规律，对于上述规律是否存在合理的解释。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w:t>
      </w:r>
      <w:r>
        <w:rPr>
          <w:rFonts w:hint="eastAsia" w:ascii="仿宋_GB2312" w:hAnsi="宋体" w:eastAsia="仿宋_GB2312"/>
          <w:color w:val="000000" w:themeColor="text1"/>
          <w:sz w:val="32"/>
          <w:szCs w:val="32"/>
          <w14:textFill>
            <w14:solidFill>
              <w14:schemeClr w14:val="tx1"/>
            </w14:solidFill>
          </w14:textFill>
        </w:rPr>
        <w:t>、销售中存在第三方回款的</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销售中</w:t>
      </w:r>
      <w:r>
        <w:rPr>
          <w:rFonts w:ascii="仿宋_GB2312" w:hAnsi="宋体" w:eastAsia="仿宋_GB2312"/>
          <w:color w:val="000000" w:themeColor="text1"/>
          <w:sz w:val="32"/>
          <w:szCs w:val="32"/>
          <w14:textFill>
            <w14:solidFill>
              <w14:schemeClr w14:val="tx1"/>
            </w14:solidFill>
          </w14:textFill>
        </w:rPr>
        <w:t>存在第三方回款的，需进一步核查第三方回款的必要性、合理性、可验证性，以及对应收入确认的真实性</w:t>
      </w:r>
      <w:r>
        <w:rPr>
          <w:rFonts w:hint="eastAsia" w:ascii="仿宋_GB2312" w:hAnsi="宋体" w:eastAsia="仿宋_GB2312"/>
          <w:color w:val="000000" w:themeColor="text1"/>
          <w:sz w:val="32"/>
          <w:szCs w:val="32"/>
          <w14:textFill>
            <w14:solidFill>
              <w14:schemeClr w14:val="tx1"/>
            </w14:solidFill>
          </w14:textFill>
        </w:rPr>
        <w:t>。核查中应关注：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1）第三方回款的原因</w:t>
      </w:r>
      <w:r>
        <w:rPr>
          <w:rFonts w:hint="eastAsia" w:ascii="仿宋_GB2312" w:hAnsi="宋体" w:eastAsia="仿宋_GB2312"/>
          <w:color w:val="000000" w:themeColor="text1"/>
          <w:sz w:val="32"/>
          <w:szCs w:val="32"/>
          <w14:textFill>
            <w14:solidFill>
              <w14:schemeClr w14:val="tx1"/>
            </w14:solidFill>
          </w14:textFill>
        </w:rPr>
        <w:t>及必要性</w:t>
      </w:r>
      <w:r>
        <w:rPr>
          <w:rFonts w:ascii="仿宋_GB2312" w:hAnsi="宋体" w:eastAsia="仿宋_GB2312"/>
          <w:color w:val="000000" w:themeColor="text1"/>
          <w:sz w:val="32"/>
          <w:szCs w:val="32"/>
          <w14:textFill>
            <w14:solidFill>
              <w14:schemeClr w14:val="tx1"/>
            </w14:solidFill>
          </w14:textFill>
        </w:rPr>
        <w:t>，是否具备合理的商业理由，是否符合行业惯例</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2）回款的第三方与客户之间的关系，并取得相应支持性文件</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3）第三方回款的金额及占销售回款的比例</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4）销售合同中是否已约定第三</w:t>
      </w:r>
      <w:r>
        <w:rPr>
          <w:rFonts w:hint="eastAsia" w:ascii="仿宋_GB2312" w:hAnsi="宋体" w:eastAsia="仿宋_GB2312"/>
          <w:color w:val="000000" w:themeColor="text1"/>
          <w:sz w:val="32"/>
          <w:szCs w:val="32"/>
          <w14:textFill>
            <w14:solidFill>
              <w14:schemeClr w14:val="tx1"/>
            </w14:solidFill>
          </w14:textFill>
        </w:rPr>
        <w:t>方的</w:t>
      </w:r>
      <w:r>
        <w:rPr>
          <w:rFonts w:ascii="仿宋_GB2312" w:hAnsi="宋体" w:eastAsia="仿宋_GB2312"/>
          <w:color w:val="000000" w:themeColor="text1"/>
          <w:sz w:val="32"/>
          <w:szCs w:val="32"/>
          <w14:textFill>
            <w14:solidFill>
              <w14:schemeClr w14:val="tx1"/>
            </w14:solidFill>
          </w14:textFill>
        </w:rPr>
        <w:t>名称及付款账户</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w:t>
      </w:r>
      <w:r>
        <w:rPr>
          <w:rFonts w:hint="eastAsia" w:ascii="仿宋_GB2312" w:hAnsi="宋体" w:eastAsia="仿宋_GB2312"/>
          <w:color w:val="000000" w:themeColor="text1"/>
          <w:sz w:val="32"/>
          <w:szCs w:val="32"/>
          <w14:textFill>
            <w14:solidFill>
              <w14:schemeClr w14:val="tx1"/>
            </w14:solidFill>
          </w14:textFill>
        </w:rPr>
        <w:t>于发行人存在</w:t>
      </w:r>
      <w:r>
        <w:rPr>
          <w:rFonts w:ascii="仿宋_GB2312" w:hAnsi="宋体" w:eastAsia="仿宋_GB2312"/>
          <w:color w:val="000000" w:themeColor="text1"/>
          <w:sz w:val="32"/>
          <w:szCs w:val="32"/>
          <w14:textFill>
            <w14:solidFill>
              <w14:schemeClr w14:val="tx1"/>
            </w14:solidFill>
          </w14:textFill>
        </w:rPr>
        <w:t>大额第三方回款</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，必要时</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通过走访、函证等核查手段向客户及第三方核实委托关系，进一步核查交易的真实性。</w:t>
      </w:r>
    </w:p>
    <w:p>
      <w:pPr>
        <w:spacing w:line="360" w:lineRule="auto"/>
        <w:ind w:firstLine="640" w:firstLineChars="200"/>
        <w:outlineLvl w:val="2"/>
        <w:rPr>
          <w:rFonts w:ascii="仿宋_GB2312" w:hAnsi="宋体" w:eastAsia="仿宋_GB2312"/>
          <w:color w:val="000000"/>
          <w:sz w:val="32"/>
          <w:szCs w:val="32"/>
        </w:rPr>
      </w:pPr>
      <w:bookmarkStart w:id="92" w:name="_Toc105940630"/>
      <w:bookmarkStart w:id="93" w:name="_Toc76472369"/>
      <w:r>
        <w:rPr>
          <w:rFonts w:ascii="仿宋_GB2312" w:hAnsi="宋体" w:eastAsia="仿宋_GB2312"/>
          <w:color w:val="000000"/>
          <w:sz w:val="32"/>
          <w:szCs w:val="32"/>
        </w:rPr>
        <w:t xml:space="preserve">4.5.17 </w:t>
      </w:r>
      <w:bookmarkStart w:id="94" w:name="_Toc475710461"/>
      <w:r>
        <w:rPr>
          <w:rFonts w:ascii="仿宋_GB2312" w:hAnsi="宋体" w:eastAsia="仿宋_GB2312"/>
          <w:color w:val="000000"/>
          <w:sz w:val="32"/>
          <w:szCs w:val="32"/>
        </w:rPr>
        <w:t xml:space="preserve"> 销售成本与销售毛利</w:t>
      </w:r>
      <w:bookmarkEnd w:id="92"/>
      <w:bookmarkEnd w:id="93"/>
      <w:bookmarkEnd w:id="94"/>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1、了解成本的核算方法</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取得发行人各类主要产品的生产流程图，向生产人员、财务人员了解生产的关键节点，实地察看主要产品的生产流程。</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成本核算的制度文件，了解成本核算的具体方法，生产过程中原材料领用、人工费用和制造费用等各类成本的归集和分摊方式，产成品和在产品的成本结转方法，分析发行人的成本核算方法是否符合其业务特点，成本核算方法是否合理。</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查阅报告期内主要产品的成本分配、</w:t>
      </w:r>
      <w:r>
        <w:rPr>
          <w:rFonts w:ascii="仿宋_GB2312" w:hAnsi="宋体" w:eastAsia="仿宋_GB2312"/>
          <w:color w:val="000000" w:themeColor="text1"/>
          <w:sz w:val="32"/>
          <w:szCs w:val="32"/>
          <w14:textFill>
            <w14:solidFill>
              <w14:schemeClr w14:val="tx1"/>
            </w14:solidFill>
          </w14:textFill>
        </w:rPr>
        <w:t>分摊</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结转计算明细表，</w:t>
      </w:r>
      <w:r>
        <w:rPr>
          <w:rFonts w:hint="eastAsia" w:ascii="仿宋_GB2312" w:hAnsi="宋体" w:eastAsia="仿宋_GB2312"/>
          <w:color w:val="000000" w:themeColor="text1"/>
          <w:sz w:val="32"/>
          <w:szCs w:val="32"/>
          <w14:textFill>
            <w14:solidFill>
              <w14:schemeClr w14:val="tx1"/>
            </w14:solidFill>
          </w14:textFill>
        </w:rPr>
        <w:t>测算成本的计算是否准确和完整，</w:t>
      </w:r>
      <w:r>
        <w:rPr>
          <w:rFonts w:ascii="仿宋_GB2312" w:hAnsi="宋体" w:eastAsia="仿宋_GB2312"/>
          <w:color w:val="000000" w:themeColor="text1"/>
          <w:sz w:val="32"/>
          <w:szCs w:val="32"/>
          <w14:textFill>
            <w14:solidFill>
              <w14:schemeClr w14:val="tx1"/>
            </w14:solidFill>
          </w14:textFill>
        </w:rPr>
        <w:t>核</w:t>
      </w:r>
      <w:r>
        <w:rPr>
          <w:rFonts w:hint="eastAsia" w:ascii="仿宋_GB2312" w:hAnsi="宋体" w:eastAsia="仿宋_GB2312"/>
          <w:color w:val="000000" w:themeColor="text1"/>
          <w:sz w:val="32"/>
          <w:szCs w:val="32"/>
          <w14:textFill>
            <w14:solidFill>
              <w14:schemeClr w14:val="tx1"/>
            </w14:solidFill>
          </w14:textFill>
        </w:rPr>
        <w:t>查</w:t>
      </w:r>
      <w:r>
        <w:rPr>
          <w:rFonts w:ascii="仿宋_GB2312" w:hAnsi="宋体" w:eastAsia="仿宋_GB2312"/>
          <w:color w:val="000000" w:themeColor="text1"/>
          <w:sz w:val="32"/>
          <w:szCs w:val="32"/>
          <w14:textFill>
            <w14:solidFill>
              <w14:schemeClr w14:val="tx1"/>
            </w14:solidFill>
          </w14:textFill>
        </w:rPr>
        <w:t>成本核算方法是否与</w:t>
      </w:r>
      <w:r>
        <w:rPr>
          <w:rFonts w:hint="eastAsia" w:ascii="仿宋_GB2312" w:hAnsi="宋体" w:eastAsia="仿宋_GB2312"/>
          <w:color w:val="000000" w:themeColor="text1"/>
          <w:sz w:val="32"/>
          <w:szCs w:val="32"/>
          <w14:textFill>
            <w14:solidFill>
              <w14:schemeClr w14:val="tx1"/>
            </w14:solidFill>
          </w14:textFill>
        </w:rPr>
        <w:t>现有制度规定保持一致，</w:t>
      </w:r>
      <w:r>
        <w:rPr>
          <w:rFonts w:ascii="仿宋_GB2312" w:hAnsi="宋体" w:eastAsia="仿宋_GB2312"/>
          <w:color w:val="000000" w:themeColor="text1"/>
          <w:sz w:val="32"/>
          <w:szCs w:val="32"/>
          <w14:textFill>
            <w14:solidFill>
              <w14:schemeClr w14:val="tx1"/>
            </w14:solidFill>
          </w14:textFill>
        </w:rPr>
        <w:t>报告期成本核算的方法是否保持一致</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2、营业成本的分析</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获取报告期营业成本明细表，营业成本分部信息（如有），了解产品单位成本及构成情况，包括直接材料、直接人工、燃料和动力、制造费用等</w:t>
      </w:r>
      <w:r>
        <w:rPr>
          <w:rFonts w:hint="eastAsia" w:ascii="仿宋_GB2312" w:hAnsi="宋体" w:eastAsia="仿宋_GB2312"/>
          <w:color w:val="000000" w:themeColor="text1"/>
          <w:sz w:val="32"/>
          <w:szCs w:val="32"/>
          <w14:textFill>
            <w14:solidFill>
              <w14:schemeClr w14:val="tx1"/>
            </w14:solidFill>
          </w14:textFill>
        </w:rPr>
        <w:t>，分析主要产品单位成本的构成情况。</w:t>
      </w:r>
      <w:r>
        <w:rPr>
          <w:rFonts w:ascii="仿宋_GB2312" w:hAnsi="宋体" w:eastAsia="仿宋_GB2312"/>
          <w:color w:val="000000" w:themeColor="text1"/>
          <w:sz w:val="32"/>
          <w:szCs w:val="32"/>
          <w14:textFill>
            <w14:solidFill>
              <w14:schemeClr w14:val="tx1"/>
            </w14:solidFill>
          </w14:textFill>
        </w:rPr>
        <w:t>报告期内主要产品单位成本大幅变动的，应进行因素分析并结合市场和同行业企业情况判断其合理性。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通过询问管理层、生产人员，实地查看生产线，查阅可研报告、产量统计表等方式，了解发行人主要产品的产能、产量情况，分析发行人产能、产量信息统计的准确性及合理性。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保荐人对营业成本进行分析时，可参考如下方面：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1）抽取主要产品的物料清单（BOM</w:t>
      </w:r>
      <w:r>
        <w:rPr>
          <w:rFonts w:hint="eastAsia" w:ascii="仿宋_GB2312" w:hAnsi="宋体" w:eastAsia="仿宋_GB2312"/>
          <w:color w:val="000000" w:themeColor="text1"/>
          <w:sz w:val="32"/>
          <w:szCs w:val="32"/>
          <w14:textFill>
            <w14:solidFill>
              <w14:schemeClr w14:val="tx1"/>
            </w14:solidFill>
          </w14:textFill>
        </w:rPr>
        <w:t>单），了解主要产品的主要原料构成情况，并结合访谈生产人员、实地查看等方式，分析主要物料比例构成的合理性；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2）分析主要产品的直接材料、直接人工、燃料及动力、制造费用等的构成及变动原因</w:t>
      </w:r>
      <w:r>
        <w:rPr>
          <w:rFonts w:hint="eastAsia" w:ascii="仿宋_GB2312" w:hAnsi="宋体" w:eastAsia="仿宋_GB2312"/>
          <w:color w:val="000000" w:themeColor="text1"/>
          <w:sz w:val="32"/>
          <w:szCs w:val="32"/>
          <w14:textFill>
            <w14:solidFill>
              <w14:schemeClr w14:val="tx1"/>
            </w14:solidFill>
          </w14:textFill>
        </w:rPr>
        <w:t>及合理性</w:t>
      </w:r>
      <w:r>
        <w:rPr>
          <w:rFonts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3）分析主要原材料、包装物</w:t>
      </w:r>
      <w:r>
        <w:rPr>
          <w:rFonts w:hint="eastAsia" w:ascii="仿宋_GB2312" w:hAnsi="宋体" w:eastAsia="仿宋_GB2312"/>
          <w:color w:val="000000" w:themeColor="text1"/>
          <w:sz w:val="32"/>
          <w:szCs w:val="32"/>
          <w14:textFill>
            <w14:solidFill>
              <w14:schemeClr w14:val="tx1"/>
            </w14:solidFill>
          </w14:textFill>
        </w:rPr>
        <w:t>及单位能耗等</w:t>
      </w:r>
      <w:r>
        <w:rPr>
          <w:rFonts w:ascii="仿宋_GB2312" w:hAnsi="宋体" w:eastAsia="仿宋_GB2312"/>
          <w:color w:val="000000" w:themeColor="text1"/>
          <w:sz w:val="32"/>
          <w:szCs w:val="32"/>
          <w14:textFill>
            <w14:solidFill>
              <w14:schemeClr w14:val="tx1"/>
            </w14:solidFill>
          </w14:textFill>
        </w:rPr>
        <w:t>与主要产品的</w:t>
      </w:r>
      <w:r>
        <w:rPr>
          <w:rFonts w:hint="eastAsia" w:ascii="仿宋_GB2312" w:hAnsi="宋体" w:eastAsia="仿宋_GB2312"/>
          <w:color w:val="000000" w:themeColor="text1"/>
          <w:sz w:val="32"/>
          <w:szCs w:val="32"/>
          <w14:textFill>
            <w14:solidFill>
              <w14:schemeClr w14:val="tx1"/>
            </w14:solidFill>
          </w14:textFill>
        </w:rPr>
        <w:t>产能、产量和销量是否匹</w:t>
      </w:r>
      <w:r>
        <w:rPr>
          <w:rFonts w:ascii="仿宋_GB2312" w:hAnsi="宋体" w:eastAsia="仿宋_GB2312"/>
          <w:color w:val="000000" w:themeColor="text1"/>
          <w:sz w:val="32"/>
          <w:szCs w:val="32"/>
          <w14:textFill>
            <w14:solidFill>
              <w14:schemeClr w14:val="tx1"/>
            </w14:solidFill>
          </w14:textFill>
        </w:rPr>
        <w:t>配，是否符合行业惯例；</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4）分析单位产品的燃料动力用量的变动情况；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分析主要原材料的价格及与公开市场价格走势的比较情况；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6）对照工艺流程、生产周期和在产品历史数据，分析期末在产品余额的合理性，关注期末在产品是否存在余额巨大等异常情况，判断是否存在应转未转成本的情况。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3、毛利率分析</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查阅发行人历年产品（服务）成本计算单，计算主要产品（服务）的毛利率、贡献毛利占当期主营业务利润的比重指标，与同类公司数据比较，分析发行人较同行业公司在成本方面的竞争优势或劣势；根据发行人报告期上述数据，分析发行人主要产品的盈利能力。</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计算发行人报告期的综合毛利率、分产品（服务）的毛利率、营业利润率等利润率指标，结合发行人行业及市场变化趋势、产品（服务）的价格和成本因素，分析其报告期内的变化情况并判断其未来变动趋势，与同行业</w:t>
      </w:r>
      <w:r>
        <w:rPr>
          <w:rFonts w:hint="eastAsia" w:ascii="仿宋_GB2312" w:hAnsi="宋体" w:eastAsia="仿宋_GB2312"/>
          <w:color w:val="000000" w:themeColor="text1"/>
          <w:sz w:val="32"/>
          <w:szCs w:val="32"/>
          <w14:textFill>
            <w14:solidFill>
              <w14:schemeClr w14:val="tx1"/>
            </w14:solidFill>
          </w14:textFill>
        </w:rPr>
        <w:t>可比公司</w:t>
      </w:r>
      <w:r>
        <w:rPr>
          <w:rFonts w:ascii="仿宋_GB2312" w:hAnsi="宋体" w:eastAsia="仿宋_GB2312"/>
          <w:color w:val="000000" w:themeColor="text1"/>
          <w:sz w:val="32"/>
          <w:szCs w:val="32"/>
          <w14:textFill>
            <w14:solidFill>
              <w14:schemeClr w14:val="tx1"/>
            </w14:solidFill>
          </w14:textFill>
        </w:rPr>
        <w:t>进行比较分析，判断发行人</w:t>
      </w:r>
      <w:r>
        <w:rPr>
          <w:rFonts w:hint="eastAsia" w:ascii="仿宋_GB2312" w:hAnsi="宋体" w:eastAsia="仿宋_GB2312"/>
          <w:color w:val="000000" w:themeColor="text1"/>
          <w:sz w:val="32"/>
          <w:szCs w:val="32"/>
          <w14:textFill>
            <w14:solidFill>
              <w14:schemeClr w14:val="tx1"/>
            </w14:solidFill>
          </w14:textFill>
        </w:rPr>
        <w:t>的综合毛利率、分</w:t>
      </w:r>
      <w:r>
        <w:rPr>
          <w:rFonts w:ascii="仿宋_GB2312" w:hAnsi="宋体" w:eastAsia="仿宋_GB2312"/>
          <w:color w:val="000000" w:themeColor="text1"/>
          <w:sz w:val="32"/>
          <w:szCs w:val="32"/>
          <w14:textFill>
            <w14:solidFill>
              <w14:schemeClr w14:val="tx1"/>
            </w14:solidFill>
          </w14:textFill>
        </w:rPr>
        <w:t>产品（服务）毛利率、营业利润率等是否正常，存在重大异常的应进行多因素分析并进行重点核查。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结合发行人所从事的主营业务、采用的经营模式及</w:t>
      </w:r>
      <w:r>
        <w:rPr>
          <w:rFonts w:hint="eastAsia" w:ascii="仿宋_GB2312" w:hAnsi="宋体" w:eastAsia="仿宋_GB2312"/>
          <w:color w:val="000000" w:themeColor="text1"/>
          <w:sz w:val="32"/>
          <w:szCs w:val="32"/>
          <w14:textFill>
            <w14:solidFill>
              <w14:schemeClr w14:val="tx1"/>
            </w14:solidFill>
          </w14:textFill>
        </w:rPr>
        <w:t>所处</w:t>
      </w:r>
      <w:r>
        <w:rPr>
          <w:rFonts w:ascii="仿宋_GB2312" w:hAnsi="宋体" w:eastAsia="仿宋_GB2312"/>
          <w:color w:val="000000" w:themeColor="text1"/>
          <w:sz w:val="32"/>
          <w:szCs w:val="32"/>
          <w14:textFill>
            <w14:solidFill>
              <w14:schemeClr w14:val="tx1"/>
            </w14:solidFill>
          </w14:textFill>
        </w:rPr>
        <w:t>行业竞争情况，分析报告期利润的主要来源、可能影响发行人盈利能力连续性和稳定性的主要因素。如发行人主要产品的销售价格或主要原材料、燃料价格频繁变动且影响较大的，分析价格变动对利润的影响的敏感性以及报告期后、招股书签署日前，</w:t>
      </w:r>
      <w:r>
        <w:rPr>
          <w:rFonts w:hint="eastAsia" w:ascii="仿宋_GB2312" w:hAnsi="宋体" w:eastAsia="仿宋_GB2312"/>
          <w:color w:val="000000" w:themeColor="text1"/>
          <w:sz w:val="32"/>
          <w:szCs w:val="32"/>
          <w14:textFill>
            <w14:solidFill>
              <w14:schemeClr w14:val="tx1"/>
            </w14:solidFill>
          </w14:textFill>
        </w:rPr>
        <w:t>主要</w:t>
      </w:r>
      <w:r>
        <w:rPr>
          <w:rFonts w:ascii="仿宋_GB2312" w:hAnsi="宋体" w:eastAsia="仿宋_GB2312"/>
          <w:color w:val="000000" w:themeColor="text1"/>
          <w:sz w:val="32"/>
          <w:szCs w:val="32"/>
          <w14:textFill>
            <w14:solidFill>
              <w14:schemeClr w14:val="tx1"/>
            </w14:solidFill>
          </w14:textFill>
        </w:rPr>
        <w:t>产品</w:t>
      </w:r>
      <w:r>
        <w:rPr>
          <w:rFonts w:hint="eastAsia" w:ascii="仿宋_GB2312" w:hAnsi="宋体" w:eastAsia="仿宋_GB2312"/>
          <w:color w:val="000000" w:themeColor="text1"/>
          <w:sz w:val="32"/>
          <w:szCs w:val="32"/>
          <w14:textFill>
            <w14:solidFill>
              <w14:schemeClr w14:val="tx1"/>
            </w14:solidFill>
          </w14:textFill>
        </w:rPr>
        <w:t>销售</w:t>
      </w:r>
      <w:r>
        <w:rPr>
          <w:rFonts w:ascii="仿宋_GB2312" w:hAnsi="宋体" w:eastAsia="仿宋_GB2312"/>
          <w:color w:val="000000" w:themeColor="text1"/>
          <w:sz w:val="32"/>
          <w:szCs w:val="32"/>
          <w14:textFill>
            <w14:solidFill>
              <w14:schemeClr w14:val="tx1"/>
            </w14:solidFill>
          </w14:textFill>
        </w:rPr>
        <w:t>价格或主要原材料、燃料价格的变化情况。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4、其他</w:t>
      </w:r>
      <w:r>
        <w:rPr>
          <w:rFonts w:hint="eastAsia" w:ascii="仿宋_GB2312" w:hAnsi="宋体" w:eastAsia="仿宋_GB2312"/>
          <w:color w:val="000000" w:themeColor="text1"/>
          <w:sz w:val="32"/>
          <w:szCs w:val="32"/>
          <w14:textFill>
            <w14:solidFill>
              <w14:schemeClr w14:val="tx1"/>
            </w14:solidFill>
          </w14:textFill>
        </w:rPr>
        <w:t>几种需关注的情形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核查发行人的投入产出比是否具有稳定的勾稽关系</w:t>
      </w:r>
      <w:r>
        <w:rPr>
          <w:rFonts w:ascii="仿宋_GB2312" w:hAnsi="宋体" w:eastAsia="仿宋_GB2312"/>
          <w:color w:val="000000" w:themeColor="text1"/>
          <w:sz w:val="32"/>
          <w:szCs w:val="32"/>
          <w14:textFill>
            <w14:solidFill>
              <w14:schemeClr w14:val="tx1"/>
            </w14:solidFill>
          </w14:textFill>
        </w:rPr>
        <w:t>,核查发行人是否利用体外资金支付货款，少计原材料采购数量及金额，虚减当期成本，虚构利润。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核查是否存在关联方或其他利益相关方代发行人支付成本或采用无偿或不公允的交易价格向发行人提供经济资源。</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核查是否压低员工薪金或体外支付员工薪酬，阶段性降低人工成本粉饰业绩；核查时应结合发行人的人员结构进行分析，并核查发行人是否存在通过滥用劳务派遣规避正常劳务支出。</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查阅存货的领料凭证，并结合成本倒轧表等，核查是否将本应计入当期成本的支出混入在建工程、固定资产等资产项目的归集和分配过程以达到少计当期成本的目的。</w:t>
      </w:r>
    </w:p>
    <w:p>
      <w:pPr>
        <w:spacing w:line="360" w:lineRule="auto"/>
        <w:ind w:firstLine="640" w:firstLineChars="200"/>
        <w:outlineLvl w:val="2"/>
        <w:rPr>
          <w:rFonts w:ascii="仿宋_GB2312" w:hAnsi="宋体" w:eastAsia="仿宋_GB2312"/>
          <w:color w:val="000000"/>
          <w:sz w:val="32"/>
          <w:szCs w:val="32"/>
        </w:rPr>
      </w:pPr>
      <w:bookmarkStart w:id="95" w:name="_Toc105940631"/>
      <w:bookmarkStart w:id="96" w:name="_Toc76472370"/>
      <w:r>
        <w:rPr>
          <w:rFonts w:ascii="仿宋_GB2312" w:hAnsi="宋体" w:eastAsia="仿宋_GB2312"/>
          <w:color w:val="000000"/>
          <w:sz w:val="32"/>
          <w:szCs w:val="32"/>
        </w:rPr>
        <w:t xml:space="preserve">4.5.18  </w:t>
      </w:r>
      <w:r>
        <w:rPr>
          <w:rFonts w:hint="eastAsia" w:ascii="仿宋_GB2312" w:hAnsi="宋体" w:eastAsia="仿宋_GB2312"/>
          <w:color w:val="000000"/>
          <w:sz w:val="32"/>
          <w:szCs w:val="32"/>
        </w:rPr>
        <w:t>货币资金</w:t>
      </w:r>
      <w:bookmarkEnd w:id="95"/>
      <w:bookmarkEnd w:id="96"/>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1、银行账户</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取得发行人基本户开户行或中国人民银行出具的银行账户开立清单，检查发行人货币资金明细账账户记录的完整性。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w:t>
      </w:r>
      <w:r>
        <w:rPr>
          <w:rFonts w:hint="eastAsia" w:ascii="仿宋_GB2312" w:hAnsi="宋体" w:eastAsia="仿宋_GB2312"/>
          <w:color w:val="000000" w:themeColor="text1"/>
          <w:sz w:val="32"/>
          <w:szCs w:val="32"/>
          <w14:textFill>
            <w14:solidFill>
              <w14:schemeClr w14:val="tx1"/>
            </w14:solidFill>
          </w14:textFill>
        </w:rPr>
        <w:t>于</w:t>
      </w:r>
      <w:r>
        <w:rPr>
          <w:rFonts w:ascii="仿宋_GB2312" w:hAnsi="宋体" w:eastAsia="仿宋_GB2312"/>
          <w:color w:val="000000" w:themeColor="text1"/>
          <w:sz w:val="32"/>
          <w:szCs w:val="32"/>
          <w14:textFill>
            <w14:solidFill>
              <w14:schemeClr w14:val="tx1"/>
            </w14:solidFill>
          </w14:textFill>
        </w:rPr>
        <w:t>发行人报告期内新开立的银行账户，了解开户原因、用途及合理性；对报告期内注销的银行账户，了解销户的原因以及是否纳入到核查范围</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对</w:t>
      </w:r>
      <w:r>
        <w:rPr>
          <w:rFonts w:hint="eastAsia" w:ascii="仿宋_GB2312" w:hAnsi="宋体" w:eastAsia="仿宋_GB2312"/>
          <w:color w:val="000000" w:themeColor="text1"/>
          <w:sz w:val="32"/>
          <w:szCs w:val="32"/>
          <w14:textFill>
            <w14:solidFill>
              <w14:schemeClr w14:val="tx1"/>
            </w14:solidFill>
          </w14:textFill>
        </w:rPr>
        <w:t>于</w:t>
      </w:r>
      <w:r>
        <w:rPr>
          <w:rFonts w:ascii="仿宋_GB2312" w:hAnsi="宋体" w:eastAsia="仿宋_GB2312"/>
          <w:color w:val="000000" w:themeColor="text1"/>
          <w:sz w:val="32"/>
          <w:szCs w:val="32"/>
          <w14:textFill>
            <w14:solidFill>
              <w14:schemeClr w14:val="tx1"/>
            </w14:solidFill>
          </w14:textFill>
        </w:rPr>
        <w:t>报告期内频繁开户、销户以及账户开立不久后即销户的情况，关注其是否与实际生产经营需要相关。</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发行人在异地开立的银行账户，关注其开立原因，是否与实际生产经营需要相关。发行人存在外汇账户的，核查是否经外汇管理部门批准，并抽查大额资金流水与原始凭证是否相符、是否符合国家外汇管理有关规定。</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保荐人应关注发行人及相关自然人外汇账户及境外账户的完整性情况，结合发行人涉外业务、境外经营等情况核查外汇账户、境外账户的完整性，并关注银行账户资金来源和流向。</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存在定期存款账户、保证金账户、非银行金融机构账户等非日常结算账户的，了解该类账户形成的原因和当前状况，该类账户的使用用途是否受限（如抵押、质押），核查发行人对该类账户资金是否拥有自由支配权。</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发行人存在与控股股东或其他关联方联合或共管账户、在集团财务公司开设银行账户、资金池业务等情形</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与管理层、控股股东或其他关联方的相关人员访谈，了解该类业务形成的原因和必要性，账户的监督管理机制及有效性，是否会存在存放资金无法兑付或被冻结的情况。取得相关的协议、合同、账户管理制度等资料，并结合日常中资金实际使用情况，核查发行人是否可以自由支取该类账户中的资金，以及</w:t>
      </w:r>
      <w:r>
        <w:rPr>
          <w:rFonts w:ascii="仿宋_GB2312" w:hAnsi="宋体" w:eastAsia="仿宋_GB2312"/>
          <w:color w:val="000000" w:themeColor="text1"/>
          <w:sz w:val="32"/>
          <w:szCs w:val="32"/>
          <w14:textFill>
            <w14:solidFill>
              <w14:schemeClr w14:val="tx1"/>
            </w14:solidFill>
          </w14:textFill>
        </w:rPr>
        <w:t>该情形对发行人财务的独立性</w:t>
      </w:r>
      <w:r>
        <w:rPr>
          <w:rFonts w:hint="eastAsia" w:ascii="仿宋_GB2312" w:hAnsi="宋体" w:eastAsia="仿宋_GB2312"/>
          <w:color w:val="000000" w:themeColor="text1"/>
          <w:sz w:val="32"/>
          <w:szCs w:val="32"/>
          <w14:textFill>
            <w14:solidFill>
              <w14:schemeClr w14:val="tx1"/>
            </w14:solidFill>
          </w14:textFill>
        </w:rPr>
        <w:t>和</w:t>
      </w:r>
      <w:r>
        <w:rPr>
          <w:rFonts w:ascii="仿宋_GB2312" w:hAnsi="宋体" w:eastAsia="仿宋_GB2312"/>
          <w:color w:val="000000" w:themeColor="text1"/>
          <w:sz w:val="32"/>
          <w:szCs w:val="32"/>
          <w14:textFill>
            <w14:solidFill>
              <w14:schemeClr w14:val="tx1"/>
            </w14:solidFill>
          </w14:textFill>
        </w:rPr>
        <w:t>货币资金真实性的影响。</w:t>
      </w:r>
    </w:p>
    <w:p>
      <w:pPr>
        <w:adjustRightInd w:val="0"/>
        <w:snapToGrid w:val="0"/>
        <w:spacing w:line="360" w:lineRule="auto"/>
        <w:rPr>
          <w:rFonts w:ascii="仿宋_GB2312" w:hAnsi="宋体" w:eastAsia="仿宋_GB2312"/>
          <w:color w:val="000000" w:themeColor="text1"/>
          <w:sz w:val="32"/>
          <w:szCs w:val="32"/>
          <w:lang w:eastAsia="zh-Hans"/>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    结合发行人实际情况，判断资金流水核查范围是否还需包括控股股东、实际控制人、发行人主要关联方、董事、监事、</w:t>
      </w:r>
      <w:r>
        <w:rPr>
          <w:rFonts w:hint="eastAsia" w:ascii="仿宋_GB2312" w:hAnsi="宋体" w:eastAsia="仿宋_GB2312"/>
          <w:color w:val="000000" w:themeColor="text1"/>
          <w:sz w:val="32"/>
          <w:szCs w:val="32"/>
          <w14:textFill>
            <w14:solidFill>
              <w14:schemeClr w14:val="tx1"/>
            </w14:solidFill>
          </w14:textFill>
        </w:rPr>
        <w:t>高级管理人员</w:t>
      </w:r>
      <w:r>
        <w:rPr>
          <w:rFonts w:ascii="仿宋_GB2312" w:hAnsi="宋体" w:eastAsia="仿宋_GB2312"/>
          <w:color w:val="000000" w:themeColor="text1"/>
          <w:sz w:val="32"/>
          <w:szCs w:val="32"/>
          <w14:textFill>
            <w14:solidFill>
              <w14:schemeClr w14:val="tx1"/>
            </w14:solidFill>
          </w14:textFill>
        </w:rPr>
        <w:t>、关键岗位人员等开立或控制的银行账户资金流水，以及与上述银行账户发生异常往来的发行人关联方及员工开立或控制的银行账户资金流水</w:t>
      </w:r>
      <w:r>
        <w:rPr>
          <w:rFonts w:hint="eastAsia" w:ascii="仿宋_GB2312" w:hAnsi="宋体" w:eastAsia="仿宋_GB2312"/>
          <w:color w:val="000000" w:themeColor="text1"/>
          <w:sz w:val="32"/>
          <w:szCs w:val="32"/>
          <w:lang w:eastAsia="zh-Hans"/>
          <w14:textFill>
            <w14:solidFill>
              <w14:schemeClr w14:val="tx1"/>
            </w14:solidFill>
          </w14:textFill>
        </w:rPr>
        <w:t>，并采用独立的方式获取相关主体的银行账户资金流水。</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、银行余额的核查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sz w:val="32"/>
          <w:szCs w:val="32"/>
        </w:rPr>
        <w:t>在合理信赖会计师银行函证工作的基础上</w:t>
      </w:r>
      <w:r>
        <w:rPr>
          <w:rFonts w:hint="eastAsia" w:ascii="仿宋_GB2312" w:hAnsi="宋体" w:eastAsia="仿宋_GB2312"/>
          <w:color w:val="000000"/>
          <w:sz w:val="32"/>
          <w:szCs w:val="32"/>
          <w:lang w:eastAsia="zh-Hans"/>
        </w:rPr>
        <w:t>，</w:t>
      </w:r>
      <w:r>
        <w:rPr>
          <w:rFonts w:ascii="仿宋_GB2312" w:hAnsi="宋体" w:eastAsia="仿宋_GB2312"/>
          <w:color w:val="000000" w:themeColor="text1"/>
          <w:sz w:val="32"/>
          <w:szCs w:val="32"/>
          <w14:textFill>
            <w14:solidFill>
              <w14:schemeClr w14:val="tx1"/>
            </w14:solidFill>
          </w14:textFill>
        </w:rPr>
        <w:t>通过询问管理层或会计师，</w:t>
      </w:r>
      <w:r>
        <w:rPr>
          <w:rFonts w:hint="eastAsia" w:ascii="仿宋_GB2312" w:hAnsi="宋体" w:eastAsia="仿宋_GB2312"/>
          <w:color w:val="000000" w:themeColor="text1"/>
          <w:sz w:val="32"/>
          <w:szCs w:val="32"/>
          <w14:textFill>
            <w14:solidFill>
              <w14:schemeClr w14:val="tx1"/>
            </w14:solidFill>
          </w14:textFill>
        </w:rPr>
        <w:t>查阅</w:t>
      </w:r>
      <w:r>
        <w:rPr>
          <w:rFonts w:hint="eastAsia" w:ascii="仿宋_GB2312" w:hAnsi="宋体" w:eastAsia="仿宋_GB2312"/>
          <w:sz w:val="32"/>
          <w:szCs w:val="32"/>
          <w:lang w:eastAsia="zh-Hans"/>
        </w:rPr>
        <w:t>货币资金明细账、</w:t>
      </w:r>
      <w:r>
        <w:rPr>
          <w:rFonts w:hint="eastAsia" w:ascii="仿宋_GB2312" w:hAnsi="宋体" w:eastAsia="仿宋_GB2312"/>
          <w:color w:val="000000" w:themeColor="text1"/>
          <w:sz w:val="32"/>
          <w:szCs w:val="32"/>
          <w14:textFill>
            <w14:solidFill>
              <w14:schemeClr w14:val="tx1"/>
            </w14:solidFill>
          </w14:textFill>
        </w:rPr>
        <w:t>定期存单、借款合同、企业信用报告</w:t>
      </w:r>
      <w:r>
        <w:rPr>
          <w:rFonts w:hint="eastAsia" w:ascii="仿宋_GB2312" w:hAnsi="宋体" w:eastAsia="仿宋_GB2312"/>
          <w:color w:val="000000" w:themeColor="text1"/>
          <w:sz w:val="32"/>
          <w:szCs w:val="32"/>
          <w:lang w:eastAsia="zh-Hans"/>
          <w14:textFill>
            <w14:solidFill>
              <w14:schemeClr w14:val="tx1"/>
            </w14:solidFill>
          </w14:textFill>
        </w:rPr>
        <w:t>或独立补充银行函证</w:t>
      </w:r>
      <w:r>
        <w:rPr>
          <w:rFonts w:hint="eastAsia" w:ascii="仿宋_GB2312" w:hAnsi="宋体" w:eastAsia="仿宋_GB2312"/>
          <w:color w:val="000000" w:themeColor="text1"/>
          <w:sz w:val="32"/>
          <w:szCs w:val="32"/>
          <w14:textFill>
            <w14:solidFill>
              <w14:schemeClr w14:val="tx1"/>
            </w14:solidFill>
          </w14:textFill>
        </w:rPr>
        <w:t>等，核查</w:t>
      </w:r>
      <w:r>
        <w:rPr>
          <w:rFonts w:ascii="仿宋_GB2312" w:hAnsi="宋体" w:eastAsia="仿宋_GB2312"/>
          <w:color w:val="000000" w:themeColor="text1"/>
          <w:sz w:val="32"/>
          <w:szCs w:val="32"/>
          <w14:textFill>
            <w14:solidFill>
              <w14:schemeClr w14:val="tx1"/>
            </w14:solidFill>
          </w14:textFill>
        </w:rPr>
        <w:t>大额银行存款</w:t>
      </w:r>
      <w:r>
        <w:rPr>
          <w:rFonts w:hint="eastAsia" w:ascii="仿宋_GB2312" w:hAnsi="宋体" w:eastAsia="仿宋_GB2312"/>
          <w:color w:val="000000" w:themeColor="text1"/>
          <w:sz w:val="32"/>
          <w:szCs w:val="32"/>
          <w:lang w:eastAsia="zh-Hans"/>
          <w14:textFill>
            <w14:solidFill>
              <w14:schemeClr w14:val="tx1"/>
            </w14:solidFill>
          </w14:textFill>
        </w:rPr>
        <w:t>是否真实存在，</w:t>
      </w:r>
      <w:r>
        <w:rPr>
          <w:rFonts w:ascii="仿宋_GB2312" w:hAnsi="宋体" w:eastAsia="仿宋_GB2312"/>
          <w:color w:val="000000" w:themeColor="text1"/>
          <w:sz w:val="32"/>
          <w:szCs w:val="32"/>
          <w14:textFill>
            <w14:solidFill>
              <w14:schemeClr w14:val="tx1"/>
            </w14:solidFill>
          </w14:textFill>
        </w:rPr>
        <w:t>是否存在担保、质押等限制用途</w:t>
      </w:r>
      <w:r>
        <w:rPr>
          <w:rFonts w:hint="eastAsia" w:ascii="仿宋_GB2312" w:hAnsi="宋体" w:eastAsia="仿宋_GB2312"/>
          <w:color w:val="000000" w:themeColor="text1"/>
          <w:sz w:val="32"/>
          <w:szCs w:val="32"/>
          <w:lang w:eastAsia="zh-Hans"/>
          <w14:textFill>
            <w14:solidFill>
              <w14:schemeClr w14:val="tx1"/>
            </w14:solidFill>
          </w14:textFill>
        </w:rPr>
        <w:t>等</w:t>
      </w:r>
      <w:r>
        <w:rPr>
          <w:rFonts w:ascii="仿宋_GB2312" w:hAnsi="宋体" w:eastAsia="仿宋_GB2312"/>
          <w:color w:val="000000" w:themeColor="text1"/>
          <w:sz w:val="32"/>
          <w:szCs w:val="32"/>
          <w14:textFill>
            <w14:solidFill>
              <w14:schemeClr w14:val="tx1"/>
            </w14:solidFill>
          </w14:textFill>
        </w:rPr>
        <w:t>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发行人的银行账户余额期末存在大额未达账项的，取得银行账户余额调节表，了解大额未达账项形成的原因，检查期后的入账情况，分析是否需要对未达账项调整财务报表。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查阅货币资金明细表，关</w:t>
      </w:r>
      <w:r>
        <w:rPr>
          <w:rFonts w:ascii="仿宋_GB2312" w:hAnsi="宋体" w:eastAsia="仿宋_GB2312"/>
          <w:color w:val="000000" w:themeColor="text1"/>
          <w:sz w:val="32"/>
          <w:szCs w:val="32"/>
          <w14:textFill>
            <w14:solidFill>
              <w14:schemeClr w14:val="tx1"/>
            </w14:solidFill>
          </w14:textFill>
        </w:rPr>
        <w:t>注报告期货币资金的期初余额、本期发生额和期末余额，</w:t>
      </w:r>
      <w:r>
        <w:rPr>
          <w:rFonts w:hint="eastAsia" w:ascii="仿宋_GB2312" w:hAnsi="宋体" w:eastAsia="仿宋_GB2312"/>
          <w:color w:val="000000" w:themeColor="text1"/>
          <w:sz w:val="32"/>
          <w:szCs w:val="32"/>
          <w14:textFill>
            <w14:solidFill>
              <w14:schemeClr w14:val="tx1"/>
            </w14:solidFill>
          </w14:textFill>
        </w:rPr>
        <w:t>分析货币资金余额与银行借款余额的匹配性，是否存在“存贷”双高等异常的情形。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银行</w:t>
      </w:r>
      <w:r>
        <w:rPr>
          <w:rFonts w:hint="eastAsia" w:ascii="仿宋_GB2312" w:hAnsi="宋体" w:eastAsia="仿宋_GB2312"/>
          <w:color w:val="000000" w:themeColor="text1"/>
          <w:sz w:val="32"/>
          <w:szCs w:val="32"/>
          <w14:textFill>
            <w14:solidFill>
              <w14:schemeClr w14:val="tx1"/>
            </w14:solidFill>
          </w14:textFill>
        </w:rPr>
        <w:t>交易额</w:t>
      </w:r>
      <w:r>
        <w:rPr>
          <w:rFonts w:ascii="仿宋_GB2312" w:hAnsi="宋体" w:eastAsia="仿宋_GB2312"/>
          <w:color w:val="000000" w:themeColor="text1"/>
          <w:sz w:val="32"/>
          <w:szCs w:val="32"/>
          <w14:textFill>
            <w14:solidFill>
              <w14:schemeClr w14:val="tx1"/>
            </w14:solidFill>
          </w14:textFill>
        </w:rPr>
        <w:t>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根据银行账户开立清单，结合发行人业务性质、行业特征、重要业务流程、以及与货币资金相关的内部控制等因素，确定对发行人银行账户的重点核查范围，如</w:t>
      </w:r>
      <w:r>
        <w:rPr>
          <w:rFonts w:hint="eastAsia" w:ascii="仿宋_GB2312" w:hAnsi="宋体" w:eastAsia="仿宋_GB2312"/>
          <w:color w:val="000000" w:themeColor="text1"/>
          <w:sz w:val="32"/>
          <w:szCs w:val="32"/>
          <w14:textFill>
            <w14:solidFill>
              <w14:schemeClr w14:val="tx1"/>
            </w14:solidFill>
          </w14:textFill>
        </w:rPr>
        <w:t>：</w:t>
      </w:r>
    </w:p>
    <w:p>
      <w:pPr>
        <w:tabs>
          <w:tab w:val="left" w:pos="5370"/>
        </w:tabs>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1）基本户</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2）日常经营中频繁使用的账户</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3）资金往来频繁或往来金额重大的账户</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4）期末余额重大或期初期末余额发生重大变化的账户</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5）异地开立的账户</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6）持有大额定期存款的账户</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7）报告期内已销户但符合上述特征的账户</w:t>
      </w:r>
      <w:r>
        <w:rPr>
          <w:rFonts w:hint="eastAsia" w:ascii="仿宋_GB2312" w:hAnsi="宋体" w:eastAsia="仿宋_GB2312"/>
          <w:color w:val="000000" w:themeColor="text1"/>
          <w:sz w:val="32"/>
          <w:szCs w:val="32"/>
          <w14:textFill>
            <w14:solidFill>
              <w14:schemeClr w14:val="tx1"/>
            </w14:solidFill>
          </w14:textFill>
        </w:rPr>
        <w:t>。</w:t>
      </w:r>
    </w:p>
    <w:p>
      <w:pPr>
        <w:pStyle w:val="36"/>
        <w:adjustRightInd w:val="0"/>
        <w:snapToGrid w:val="0"/>
        <w:spacing w:line="360" w:lineRule="auto"/>
        <w:ind w:firstLine="64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对纳入重点核查范围的银行账户，</w:t>
      </w:r>
      <w:r>
        <w:rPr>
          <w:rFonts w:hint="eastAsia" w:ascii="仿宋_GB2312" w:hAnsi="宋体" w:eastAsia="仿宋_GB2312"/>
          <w:color w:val="000000" w:themeColor="text1"/>
          <w:sz w:val="32"/>
          <w:szCs w:val="32"/>
          <w:lang w:eastAsia="zh-Hans"/>
          <w14:textFill>
            <w14:solidFill>
              <w14:schemeClr w14:val="tx1"/>
            </w14:solidFill>
          </w14:textFill>
        </w:rPr>
        <w:t>应</w:t>
      </w:r>
      <w:r>
        <w:rPr>
          <w:rFonts w:ascii="仿宋_GB2312" w:hAnsi="宋体" w:eastAsia="仿宋_GB2312"/>
          <w:color w:val="000000" w:themeColor="text1"/>
          <w:sz w:val="32"/>
          <w:szCs w:val="32"/>
          <w14:textFill>
            <w14:solidFill>
              <w14:schemeClr w14:val="tx1"/>
            </w14:solidFill>
          </w14:textFill>
        </w:rPr>
        <w:t>采用</w:t>
      </w:r>
      <w:r>
        <w:rPr>
          <w:rFonts w:hint="eastAsia" w:ascii="仿宋_GB2312" w:hAnsi="宋体" w:eastAsia="仿宋_GB2312"/>
          <w:color w:val="000000" w:themeColor="text1"/>
          <w:sz w:val="32"/>
          <w:szCs w:val="32"/>
          <w14:textFill>
            <w14:solidFill>
              <w14:schemeClr w14:val="tx1"/>
            </w14:solidFill>
          </w14:textFill>
        </w:rPr>
        <w:t>如下</w:t>
      </w:r>
      <w:r>
        <w:rPr>
          <w:rFonts w:ascii="仿宋_GB2312" w:hAnsi="宋体" w:eastAsia="仿宋_GB2312"/>
          <w:color w:val="000000" w:themeColor="text1"/>
          <w:sz w:val="32"/>
          <w:szCs w:val="32"/>
          <w14:textFill>
            <w14:solidFill>
              <w14:schemeClr w14:val="tx1"/>
            </w14:solidFill>
          </w14:textFill>
        </w:rPr>
        <w:t>方式</w:t>
      </w:r>
      <w:r>
        <w:rPr>
          <w:rFonts w:hint="eastAsia" w:ascii="仿宋_GB2312" w:hAnsi="宋体" w:eastAsia="仿宋_GB2312"/>
          <w:color w:val="000000" w:themeColor="text1"/>
          <w:sz w:val="32"/>
          <w:szCs w:val="32"/>
          <w14:textFill>
            <w14:solidFill>
              <w14:schemeClr w14:val="tx1"/>
            </w14:solidFill>
          </w14:textFill>
        </w:rPr>
        <w:t>独立地</w:t>
      </w:r>
      <w:r>
        <w:rPr>
          <w:rFonts w:ascii="仿宋_GB2312" w:hAnsi="宋体" w:eastAsia="仿宋_GB2312"/>
          <w:color w:val="000000" w:themeColor="text1"/>
          <w:sz w:val="32"/>
          <w:szCs w:val="32"/>
          <w14:textFill>
            <w14:solidFill>
              <w14:schemeClr w14:val="tx1"/>
            </w14:solidFill>
          </w14:textFill>
        </w:rPr>
        <w:t>获取报告期内的</w:t>
      </w:r>
      <w:r>
        <w:rPr>
          <w:rFonts w:hint="eastAsia" w:ascii="仿宋_GB2312" w:hAnsi="宋体" w:eastAsia="仿宋_GB2312"/>
          <w:color w:val="000000" w:themeColor="text1"/>
          <w:sz w:val="32"/>
          <w:szCs w:val="32"/>
          <w14:textFill>
            <w14:solidFill>
              <w14:schemeClr w14:val="tx1"/>
            </w14:solidFill>
          </w14:textFill>
        </w:rPr>
        <w:t>银行账户资金流水：</w:t>
      </w:r>
    </w:p>
    <w:p>
      <w:pPr>
        <w:pStyle w:val="36"/>
        <w:adjustRightInd w:val="0"/>
        <w:snapToGrid w:val="0"/>
        <w:spacing w:line="360" w:lineRule="auto"/>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1）亲自从银行营业场所取得，同时应观察账户打印过程的合规性；</w:t>
      </w:r>
    </w:p>
    <w:p>
      <w:pPr>
        <w:pStyle w:val="36"/>
        <w:adjustRightInd w:val="0"/>
        <w:snapToGrid w:val="0"/>
        <w:spacing w:line="360" w:lineRule="auto"/>
        <w:ind w:firstLine="64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2）通过企业网</w:t>
      </w:r>
      <w:r>
        <w:rPr>
          <w:rFonts w:hint="eastAsia" w:ascii="仿宋_GB2312" w:hAnsi="宋体" w:eastAsia="仿宋_GB2312"/>
          <w:color w:val="000000" w:themeColor="text1"/>
          <w:sz w:val="32"/>
          <w:szCs w:val="32"/>
          <w14:textFill>
            <w14:solidFill>
              <w14:schemeClr w14:val="tx1"/>
            </w14:solidFill>
          </w14:textFill>
        </w:rPr>
        <w:t>上</w:t>
      </w:r>
      <w:r>
        <w:rPr>
          <w:rFonts w:ascii="仿宋_GB2312" w:hAnsi="宋体" w:eastAsia="仿宋_GB2312"/>
          <w:color w:val="000000" w:themeColor="text1"/>
          <w:sz w:val="32"/>
          <w:szCs w:val="32"/>
          <w14:textFill>
            <w14:solidFill>
              <w14:schemeClr w14:val="tx1"/>
            </w14:solidFill>
          </w14:textFill>
        </w:rPr>
        <w:t>银</w:t>
      </w:r>
      <w:r>
        <w:rPr>
          <w:rFonts w:hint="eastAsia" w:ascii="仿宋_GB2312" w:hAnsi="宋体" w:eastAsia="仿宋_GB2312"/>
          <w:color w:val="000000" w:themeColor="text1"/>
          <w:sz w:val="32"/>
          <w:szCs w:val="32"/>
          <w14:textFill>
            <w14:solidFill>
              <w14:schemeClr w14:val="tx1"/>
            </w14:solidFill>
          </w14:textFill>
        </w:rPr>
        <w:t>行</w:t>
      </w:r>
      <w:r>
        <w:rPr>
          <w:rFonts w:ascii="仿宋_GB2312" w:hAnsi="宋体" w:eastAsia="仿宋_GB2312"/>
          <w:color w:val="000000" w:themeColor="text1"/>
          <w:sz w:val="32"/>
          <w:szCs w:val="32"/>
          <w14:textFill>
            <w14:solidFill>
              <w14:schemeClr w14:val="tx1"/>
            </w14:solidFill>
          </w14:textFill>
        </w:rPr>
        <w:t>获取，但应</w:t>
      </w:r>
      <w:r>
        <w:rPr>
          <w:rFonts w:hint="eastAsia" w:ascii="仿宋_GB2312" w:hAnsi="宋体" w:eastAsia="仿宋_GB2312"/>
          <w:color w:val="000000" w:themeColor="text1"/>
          <w:sz w:val="32"/>
          <w:szCs w:val="32"/>
          <w14:textFill>
            <w14:solidFill>
              <w14:schemeClr w14:val="tx1"/>
            </w14:solidFill>
          </w14:textFill>
        </w:rPr>
        <w:t>观察</w:t>
      </w:r>
      <w:r>
        <w:rPr>
          <w:rFonts w:ascii="仿宋_GB2312" w:hAnsi="宋体" w:eastAsia="仿宋_GB2312"/>
          <w:color w:val="000000" w:themeColor="text1"/>
          <w:sz w:val="32"/>
          <w:szCs w:val="32"/>
          <w14:textFill>
            <w14:solidFill>
              <w14:schemeClr w14:val="tx1"/>
            </w14:solidFill>
          </w14:textFill>
        </w:rPr>
        <w:t>网</w:t>
      </w:r>
      <w:r>
        <w:rPr>
          <w:rFonts w:hint="eastAsia" w:ascii="仿宋_GB2312" w:hAnsi="宋体" w:eastAsia="仿宋_GB2312"/>
          <w:color w:val="000000" w:themeColor="text1"/>
          <w:sz w:val="32"/>
          <w:szCs w:val="32"/>
          <w14:textFill>
            <w14:solidFill>
              <w14:schemeClr w14:val="tx1"/>
            </w14:solidFill>
          </w14:textFill>
        </w:rPr>
        <w:t>上</w:t>
      </w:r>
      <w:r>
        <w:rPr>
          <w:rFonts w:ascii="仿宋_GB2312" w:hAnsi="宋体" w:eastAsia="仿宋_GB2312"/>
          <w:color w:val="000000" w:themeColor="text1"/>
          <w:sz w:val="32"/>
          <w:szCs w:val="32"/>
          <w14:textFill>
            <w14:solidFill>
              <w14:schemeClr w14:val="tx1"/>
            </w14:solidFill>
          </w14:textFill>
        </w:rPr>
        <w:t>银</w:t>
      </w:r>
      <w:r>
        <w:rPr>
          <w:rFonts w:hint="eastAsia" w:ascii="仿宋_GB2312" w:hAnsi="宋体" w:eastAsia="仿宋_GB2312"/>
          <w:color w:val="000000" w:themeColor="text1"/>
          <w:sz w:val="32"/>
          <w:szCs w:val="32"/>
          <w14:textFill>
            <w14:solidFill>
              <w14:schemeClr w14:val="tx1"/>
            </w14:solidFill>
          </w14:textFill>
        </w:rPr>
        <w:t>行</w:t>
      </w:r>
      <w:r>
        <w:rPr>
          <w:rFonts w:ascii="仿宋_GB2312" w:hAnsi="宋体" w:eastAsia="仿宋_GB2312"/>
          <w:color w:val="000000" w:themeColor="text1"/>
          <w:sz w:val="32"/>
          <w:szCs w:val="32"/>
          <w14:textFill>
            <w14:solidFill>
              <w14:schemeClr w14:val="tx1"/>
            </w14:solidFill>
          </w14:textFill>
        </w:rPr>
        <w:t>调取</w:t>
      </w:r>
      <w:r>
        <w:rPr>
          <w:rFonts w:hint="eastAsia" w:ascii="仿宋_GB2312" w:hAnsi="宋体" w:eastAsia="仿宋_GB2312"/>
          <w:color w:val="000000" w:themeColor="text1"/>
          <w:sz w:val="32"/>
          <w:szCs w:val="32"/>
          <w14:textFill>
            <w14:solidFill>
              <w14:schemeClr w14:val="tx1"/>
            </w14:solidFill>
          </w14:textFill>
        </w:rPr>
        <w:t>资金流水</w:t>
      </w:r>
      <w:r>
        <w:rPr>
          <w:rFonts w:ascii="仿宋_GB2312" w:hAnsi="宋体" w:eastAsia="仿宋_GB2312"/>
          <w:color w:val="000000" w:themeColor="text1"/>
          <w:sz w:val="32"/>
          <w:szCs w:val="32"/>
          <w14:textFill>
            <w14:solidFill>
              <w14:schemeClr w14:val="tx1"/>
            </w14:solidFill>
          </w14:textFill>
        </w:rPr>
        <w:t>的过程，</w:t>
      </w:r>
      <w:r>
        <w:rPr>
          <w:rFonts w:hint="eastAsia" w:ascii="仿宋_GB2312" w:hAnsi="宋体" w:eastAsia="仿宋_GB2312"/>
          <w:color w:val="000000" w:themeColor="text1"/>
          <w:sz w:val="32"/>
          <w:szCs w:val="32"/>
          <w14:textFill>
            <w14:solidFill>
              <w14:schemeClr w14:val="tx1"/>
            </w14:solidFill>
          </w14:textFill>
        </w:rPr>
        <w:t>核实</w:t>
      </w:r>
      <w:r>
        <w:rPr>
          <w:rFonts w:ascii="仿宋_GB2312" w:hAnsi="宋体" w:eastAsia="仿宋_GB2312"/>
          <w:color w:val="000000" w:themeColor="text1"/>
          <w:sz w:val="32"/>
          <w:szCs w:val="32"/>
          <w14:textFill>
            <w14:solidFill>
              <w14:schemeClr w14:val="tx1"/>
            </w14:solidFill>
          </w14:textFill>
        </w:rPr>
        <w:t>网上银行地址的真实性</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对纳入重点核查范围的银行账户</w:t>
      </w:r>
      <w:r>
        <w:rPr>
          <w:rFonts w:hint="eastAsia" w:ascii="仿宋_GB2312" w:hAnsi="宋体" w:eastAsia="仿宋_GB2312"/>
          <w:color w:val="000000" w:themeColor="text1"/>
          <w:sz w:val="32"/>
          <w:szCs w:val="32"/>
          <w14:textFill>
            <w14:solidFill>
              <w14:schemeClr w14:val="tx1"/>
            </w14:solidFill>
          </w14:textFill>
        </w:rPr>
        <w:t>，结合</w:t>
      </w:r>
      <w:r>
        <w:rPr>
          <w:rFonts w:ascii="仿宋_GB2312" w:hAnsi="宋体" w:eastAsia="仿宋_GB2312"/>
          <w:color w:val="000000" w:themeColor="text1"/>
          <w:sz w:val="32"/>
          <w:szCs w:val="32"/>
          <w14:textFill>
            <w14:solidFill>
              <w14:schemeClr w14:val="tx1"/>
            </w14:solidFill>
          </w14:textFill>
        </w:rPr>
        <w:t>重要性水平</w:t>
      </w:r>
      <w:r>
        <w:rPr>
          <w:rFonts w:hint="eastAsia" w:ascii="仿宋_GB2312" w:hAnsi="宋体" w:eastAsia="仿宋_GB2312"/>
          <w:color w:val="000000" w:themeColor="text1"/>
          <w:sz w:val="32"/>
          <w:szCs w:val="32"/>
          <w14:textFill>
            <w14:solidFill>
              <w14:schemeClr w14:val="tx1"/>
            </w14:solidFill>
          </w14:textFill>
        </w:rPr>
        <w:t>确定核查标准，</w:t>
      </w:r>
      <w:r>
        <w:rPr>
          <w:rFonts w:ascii="仿宋_GB2312" w:hAnsi="宋体" w:eastAsia="仿宋_GB2312"/>
          <w:color w:val="000000" w:themeColor="text1"/>
          <w:sz w:val="32"/>
          <w:szCs w:val="32"/>
          <w14:textFill>
            <w14:solidFill>
              <w14:schemeClr w14:val="tx1"/>
            </w14:solidFill>
          </w14:textFill>
        </w:rPr>
        <w:t>进行高估（即，从</w:t>
      </w:r>
      <w:r>
        <w:rPr>
          <w:rFonts w:hint="eastAsia" w:ascii="仿宋_GB2312" w:hAnsi="宋体" w:eastAsia="仿宋_GB2312"/>
          <w:color w:val="000000" w:themeColor="text1"/>
          <w:sz w:val="32"/>
          <w:szCs w:val="32"/>
          <w14:textFill>
            <w14:solidFill>
              <w14:schemeClr w14:val="tx1"/>
            </w14:solidFill>
          </w14:textFill>
        </w:rPr>
        <w:t>货币资金明细</w:t>
      </w:r>
      <w:r>
        <w:rPr>
          <w:rFonts w:ascii="仿宋_GB2312" w:hAnsi="宋体" w:eastAsia="仿宋_GB2312"/>
          <w:color w:val="000000" w:themeColor="text1"/>
          <w:sz w:val="32"/>
          <w:szCs w:val="32"/>
          <w14:textFill>
            <w14:solidFill>
              <w14:schemeClr w14:val="tx1"/>
            </w14:solidFill>
          </w14:textFill>
        </w:rPr>
        <w:t>账上抽取大额交易，追查至银行对账单），以及低估（即，从银行对账单上抽取大额交易，追查至</w:t>
      </w:r>
      <w:r>
        <w:rPr>
          <w:rFonts w:hint="eastAsia" w:ascii="仿宋_GB2312" w:hAnsi="宋体" w:eastAsia="仿宋_GB2312"/>
          <w:color w:val="000000" w:themeColor="text1"/>
          <w:sz w:val="32"/>
          <w:szCs w:val="32"/>
          <w14:textFill>
            <w14:solidFill>
              <w14:schemeClr w14:val="tx1"/>
            </w14:solidFill>
          </w14:textFill>
        </w:rPr>
        <w:t>货币资金明细账</w:t>
      </w:r>
      <w:r>
        <w:rPr>
          <w:rFonts w:ascii="仿宋_GB2312" w:hAnsi="宋体" w:eastAsia="仿宋_GB2312"/>
          <w:color w:val="000000" w:themeColor="text1"/>
          <w:sz w:val="32"/>
          <w:szCs w:val="32"/>
          <w14:textFill>
            <w14:solidFill>
              <w14:schemeClr w14:val="tx1"/>
            </w14:solidFill>
          </w14:textFill>
        </w:rPr>
        <w:t>）测试，核查</w:t>
      </w:r>
      <w:r>
        <w:rPr>
          <w:rFonts w:hint="eastAsia" w:ascii="仿宋_GB2312" w:hAnsi="宋体" w:eastAsia="仿宋_GB2312"/>
          <w:color w:val="000000" w:themeColor="text1"/>
          <w:sz w:val="32"/>
          <w:szCs w:val="32"/>
          <w14:textFill>
            <w14:solidFill>
              <w14:schemeClr w14:val="tx1"/>
            </w14:solidFill>
          </w14:textFill>
        </w:rPr>
        <w:t>货币资金明细账</w:t>
      </w:r>
      <w:r>
        <w:rPr>
          <w:rFonts w:ascii="仿宋_GB2312" w:hAnsi="宋体" w:eastAsia="仿宋_GB2312"/>
          <w:color w:val="000000" w:themeColor="text1"/>
          <w:sz w:val="32"/>
          <w:szCs w:val="32"/>
          <w14:textFill>
            <w14:solidFill>
              <w14:schemeClr w14:val="tx1"/>
            </w14:solidFill>
          </w14:textFill>
        </w:rPr>
        <w:t>记录的完整性、准确性</w:t>
      </w:r>
      <w:r>
        <w:rPr>
          <w:rFonts w:hint="eastAsia" w:ascii="仿宋_GB2312" w:hAnsi="宋体" w:eastAsia="仿宋_GB2312"/>
          <w:color w:val="000000" w:themeColor="text1"/>
          <w:sz w:val="32"/>
          <w:szCs w:val="32"/>
          <w14:textFill>
            <w14:solidFill>
              <w14:schemeClr w14:val="tx1"/>
            </w14:solidFill>
          </w14:textFill>
        </w:rPr>
        <w:t>，核查交易</w:t>
      </w:r>
      <w:r>
        <w:rPr>
          <w:rFonts w:ascii="仿宋_GB2312" w:hAnsi="宋体" w:eastAsia="仿宋_GB2312"/>
          <w:color w:val="000000" w:themeColor="text1"/>
          <w:sz w:val="32"/>
          <w:szCs w:val="32"/>
          <w14:textFill>
            <w14:solidFill>
              <w14:schemeClr w14:val="tx1"/>
            </w14:solidFill>
          </w14:textFill>
        </w:rPr>
        <w:t>是否经过了适当的审批，是否具备合理的</w:t>
      </w:r>
      <w:r>
        <w:rPr>
          <w:rFonts w:hint="eastAsia" w:ascii="仿宋_GB2312" w:hAnsi="宋体" w:eastAsia="仿宋_GB2312"/>
          <w:color w:val="000000" w:themeColor="text1"/>
          <w:sz w:val="32"/>
          <w:szCs w:val="32"/>
          <w14:textFill>
            <w14:solidFill>
              <w14:schemeClr w14:val="tx1"/>
            </w14:solidFill>
          </w14:textFill>
        </w:rPr>
        <w:t>业务</w:t>
      </w:r>
      <w:r>
        <w:rPr>
          <w:rFonts w:ascii="仿宋_GB2312" w:hAnsi="宋体" w:eastAsia="仿宋_GB2312"/>
          <w:color w:val="000000" w:themeColor="text1"/>
          <w:sz w:val="32"/>
          <w:szCs w:val="32"/>
          <w14:textFill>
            <w14:solidFill>
              <w14:schemeClr w14:val="tx1"/>
            </w14:solidFill>
          </w14:textFill>
        </w:rPr>
        <w:t>背景，并判断其中</w:t>
      </w:r>
      <w:r>
        <w:rPr>
          <w:rFonts w:hint="eastAsia" w:ascii="仿宋_GB2312" w:hAnsi="宋体" w:eastAsia="仿宋_GB2312"/>
          <w:color w:val="000000" w:themeColor="text1"/>
          <w:sz w:val="32"/>
          <w:szCs w:val="32"/>
          <w14:textFill>
            <w14:solidFill>
              <w14:schemeClr w14:val="tx1"/>
            </w14:solidFill>
          </w14:textFill>
        </w:rPr>
        <w:t>是否</w:t>
      </w:r>
      <w:r>
        <w:rPr>
          <w:rFonts w:ascii="仿宋_GB2312" w:hAnsi="宋体" w:eastAsia="仿宋_GB2312"/>
          <w:color w:val="000000" w:themeColor="text1"/>
          <w:sz w:val="32"/>
          <w:szCs w:val="32"/>
          <w14:textFill>
            <w14:solidFill>
              <w14:schemeClr w14:val="tx1"/>
            </w14:solidFill>
          </w14:textFill>
        </w:rPr>
        <w:t>存在风险。</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对于未纳入重点核查范围的银行账户，结合项目的风险</w:t>
      </w:r>
      <w:r>
        <w:rPr>
          <w:rFonts w:hint="eastAsia" w:ascii="仿宋_GB2312" w:hAnsi="宋体" w:eastAsia="仿宋_GB2312"/>
          <w:color w:val="000000" w:themeColor="text1"/>
          <w:sz w:val="32"/>
          <w:szCs w:val="32"/>
          <w14:textFill>
            <w14:solidFill>
              <w14:schemeClr w14:val="tx1"/>
            </w14:solidFill>
          </w14:textFill>
        </w:rPr>
        <w:t>水平</w:t>
      </w:r>
      <w:r>
        <w:rPr>
          <w:rFonts w:ascii="仿宋_GB2312" w:hAnsi="宋体" w:eastAsia="仿宋_GB2312"/>
          <w:color w:val="000000" w:themeColor="text1"/>
          <w:sz w:val="32"/>
          <w:szCs w:val="32"/>
          <w14:textFill>
            <w14:solidFill>
              <w14:schemeClr w14:val="tx1"/>
            </w14:solidFill>
          </w14:textFill>
        </w:rPr>
        <w:t>、重要性水平等情况，可采用复核会计师工作或查阅发行人日常保管的对账单的方式进行分析性核查。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对</w:t>
      </w:r>
      <w:r>
        <w:rPr>
          <w:rFonts w:hint="eastAsia" w:ascii="仿宋_GB2312" w:hAnsi="宋体" w:eastAsia="仿宋_GB2312"/>
          <w:color w:val="000000" w:themeColor="text1"/>
          <w:sz w:val="32"/>
          <w:szCs w:val="32"/>
          <w14:textFill>
            <w14:solidFill>
              <w14:schemeClr w14:val="tx1"/>
            </w14:solidFill>
          </w14:textFill>
        </w:rPr>
        <w:t>现金交易</w:t>
      </w:r>
      <w:r>
        <w:rPr>
          <w:rFonts w:ascii="仿宋_GB2312" w:hAnsi="宋体" w:eastAsia="仿宋_GB2312"/>
          <w:color w:val="000000" w:themeColor="text1"/>
          <w:sz w:val="32"/>
          <w:szCs w:val="32"/>
          <w14:textFill>
            <w14:solidFill>
              <w14:schemeClr w14:val="tx1"/>
            </w14:solidFill>
          </w14:textFill>
        </w:rPr>
        <w:t>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sz w:val="32"/>
          <w:szCs w:val="32"/>
        </w:rPr>
        <w:t>发行人存在现金交易或以大额现金支付薪酬、报销费用、垫付各类款项的</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核查</w:t>
      </w:r>
      <w:r>
        <w:rPr>
          <w:rFonts w:ascii="仿宋_GB2312" w:hAnsi="宋体" w:eastAsia="仿宋_GB2312"/>
          <w:color w:val="000000" w:themeColor="text1"/>
          <w:sz w:val="32"/>
          <w:szCs w:val="32"/>
          <w14:textFill>
            <w14:solidFill>
              <w14:schemeClr w14:val="tx1"/>
            </w14:solidFill>
          </w14:textFill>
        </w:rPr>
        <w:t>现金交易的原因</w:t>
      </w:r>
      <w:r>
        <w:rPr>
          <w:rFonts w:hint="eastAsia" w:ascii="仿宋_GB2312" w:hAnsi="宋体" w:eastAsia="仿宋_GB2312"/>
          <w:color w:val="000000" w:themeColor="text1"/>
          <w:sz w:val="32"/>
          <w:szCs w:val="32"/>
          <w14:textFill>
            <w14:solidFill>
              <w14:schemeClr w14:val="tx1"/>
            </w14:solidFill>
          </w14:textFill>
        </w:rPr>
        <w:t>和合理性</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sz w:val="32"/>
          <w:szCs w:val="32"/>
        </w:rPr>
        <w:t>判断大额现金交易对发行人销售、采购真实性的影响</w:t>
      </w:r>
      <w:r>
        <w:rPr>
          <w:rFonts w:ascii="仿宋_GB2312" w:hAnsi="宋体" w:eastAsia="仿宋_GB2312"/>
          <w:color w:val="000000"/>
          <w:sz w:val="32"/>
          <w:szCs w:val="32"/>
        </w:rPr>
        <w:t>，</w:t>
      </w:r>
      <w:r>
        <w:rPr>
          <w:rFonts w:hint="eastAsia" w:ascii="仿宋_GB2312" w:hAnsi="宋体" w:eastAsia="仿宋_GB2312"/>
          <w:color w:val="000000"/>
          <w:sz w:val="32"/>
          <w:szCs w:val="32"/>
        </w:rPr>
        <w:t>相关收入确认及成本核算的原则与依据，是否涉及体外循环或虚构业务。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对现金交易进行</w:t>
      </w:r>
      <w:r>
        <w:rPr>
          <w:rFonts w:hint="eastAsia" w:ascii="仿宋_GB2312" w:hAnsi="宋体" w:eastAsia="仿宋_GB2312"/>
          <w:color w:val="000000" w:themeColor="text1"/>
          <w:sz w:val="32"/>
          <w:szCs w:val="32"/>
          <w14:textFill>
            <w14:solidFill>
              <w14:schemeClr w14:val="tx1"/>
            </w14:solidFill>
          </w14:textFill>
        </w:rPr>
        <w:t>核查时，应关注</w:t>
      </w:r>
      <w:r>
        <w:rPr>
          <w:rFonts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1）现金交易是否符合发行人的业务特性及行业惯例，</w:t>
      </w:r>
      <w:r>
        <w:rPr>
          <w:rFonts w:hint="eastAsia" w:ascii="仿宋_GB2312" w:hAnsi="宋体" w:eastAsia="仿宋_GB2312"/>
          <w:color w:val="000000" w:themeColor="text1"/>
          <w:sz w:val="32"/>
          <w:szCs w:val="32"/>
          <w14:textFill>
            <w14:solidFill>
              <w14:schemeClr w14:val="tx1"/>
            </w14:solidFill>
          </w14:textFill>
        </w:rPr>
        <w:t>未使用</w:t>
      </w:r>
      <w:r>
        <w:rPr>
          <w:rFonts w:ascii="仿宋_GB2312" w:hAnsi="宋体" w:eastAsia="仿宋_GB2312"/>
          <w:color w:val="000000" w:themeColor="text1"/>
          <w:sz w:val="32"/>
          <w:szCs w:val="32"/>
          <w14:textFill>
            <w14:solidFill>
              <w14:schemeClr w14:val="tx1"/>
            </w14:solidFill>
          </w14:textFill>
        </w:rPr>
        <w:t>微信、支付宝等快捷支付方式</w:t>
      </w:r>
      <w:r>
        <w:rPr>
          <w:rFonts w:hint="eastAsia" w:ascii="仿宋_GB2312" w:hAnsi="宋体" w:eastAsia="仿宋_GB2312"/>
          <w:color w:val="000000" w:themeColor="text1"/>
          <w:sz w:val="32"/>
          <w:szCs w:val="32"/>
          <w14:textFill>
            <w14:solidFill>
              <w14:schemeClr w14:val="tx1"/>
            </w14:solidFill>
          </w14:textFill>
        </w:rPr>
        <w:t>代替现金交易的原因和合理性；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ascii="仿宋_GB2312" w:hAnsi="宋体" w:eastAsia="仿宋_GB2312"/>
          <w:color w:val="000000"/>
          <w:sz w:val="32"/>
          <w:szCs w:val="32"/>
        </w:rPr>
        <w:t>核查</w:t>
      </w:r>
      <w:r>
        <w:rPr>
          <w:rFonts w:hint="eastAsia" w:ascii="仿宋_GB2312" w:hAnsi="宋体" w:eastAsia="仿宋_GB2312"/>
          <w:color w:val="000000"/>
          <w:sz w:val="32"/>
          <w:szCs w:val="32"/>
        </w:rPr>
        <w:t>现金管理制度是否与业务模式、内部管理制度匹配，与现金交易、现金支付相关的内部控制制度是否完备、合理并执行有效</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sz w:val="32"/>
          <w:szCs w:val="32"/>
        </w:rPr>
        <w:t>现金交易流水</w:t>
      </w:r>
      <w:r>
        <w:rPr>
          <w:rFonts w:ascii="仿宋_GB2312" w:hAnsi="宋体" w:eastAsia="仿宋_GB2312"/>
          <w:color w:val="000000"/>
          <w:sz w:val="32"/>
          <w:szCs w:val="32"/>
        </w:rPr>
        <w:t>的发生</w:t>
      </w:r>
      <w:r>
        <w:rPr>
          <w:rFonts w:hint="eastAsia" w:ascii="仿宋_GB2312" w:hAnsi="宋体" w:eastAsia="仿宋_GB2312"/>
          <w:color w:val="000000"/>
          <w:sz w:val="32"/>
          <w:szCs w:val="32"/>
        </w:rPr>
        <w:t>与相关业务</w:t>
      </w:r>
      <w:r>
        <w:rPr>
          <w:rFonts w:ascii="仿宋_GB2312" w:hAnsi="宋体" w:eastAsia="仿宋_GB2312"/>
          <w:color w:val="000000"/>
          <w:sz w:val="32"/>
          <w:szCs w:val="32"/>
        </w:rPr>
        <w:t>发生</w:t>
      </w:r>
      <w:r>
        <w:rPr>
          <w:rFonts w:hint="eastAsia" w:ascii="仿宋_GB2312" w:hAnsi="宋体" w:eastAsia="仿宋_GB2312"/>
          <w:color w:val="000000"/>
          <w:sz w:val="32"/>
          <w:szCs w:val="32"/>
        </w:rPr>
        <w:t>是否真实一致，是否存在异常分布，</w:t>
      </w:r>
      <w:r>
        <w:rPr>
          <w:rFonts w:ascii="仿宋_GB2312" w:hAnsi="宋体" w:eastAsia="仿宋_GB2312"/>
          <w:color w:val="000000" w:themeColor="text1"/>
          <w:sz w:val="32"/>
          <w:szCs w:val="32"/>
          <w14:textFill>
            <w14:solidFill>
              <w14:schemeClr w14:val="tx1"/>
            </w14:solidFill>
          </w14:textFill>
        </w:rPr>
        <w:t>现金交易原始交易单据保管情况及可追溯性</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sz w:val="32"/>
          <w:szCs w:val="32"/>
        </w:rPr>
        <w:t xml:space="preserve">现金交易的客户或供应商情况，是否涉及发行人关联方； </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sz w:val="32"/>
          <w:szCs w:val="32"/>
        </w:rPr>
        <w:t>现金交易比例及其变动情况是否处于合理范围</w:t>
      </w:r>
      <w:r>
        <w:rPr>
          <w:rFonts w:ascii="仿宋_GB2312" w:hAnsi="宋体" w:eastAsia="仿宋_GB2312"/>
          <w:color w:val="000000" w:themeColor="text1"/>
          <w:sz w:val="32"/>
          <w:szCs w:val="32"/>
          <w14:textFill>
            <w14:solidFill>
              <w14:schemeClr w14:val="tx1"/>
            </w14:solidFill>
          </w14:textFill>
        </w:rPr>
        <w:t>及对发行人经营成果的重要性</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6）现金交易的改善情况及解决措施</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对于大额</w:t>
      </w:r>
      <w:r>
        <w:rPr>
          <w:rFonts w:hint="eastAsia" w:ascii="仿宋_GB2312" w:hAnsi="宋体" w:eastAsia="仿宋_GB2312"/>
          <w:color w:val="000000" w:themeColor="text1"/>
          <w:sz w:val="32"/>
          <w:szCs w:val="32"/>
          <w14:textFill>
            <w14:solidFill>
              <w14:schemeClr w14:val="tx1"/>
            </w14:solidFill>
          </w14:textFill>
        </w:rPr>
        <w:t>现</w:t>
      </w:r>
      <w:r>
        <w:rPr>
          <w:rFonts w:ascii="仿宋_GB2312" w:hAnsi="宋体" w:eastAsia="仿宋_GB2312"/>
          <w:color w:val="000000" w:themeColor="text1"/>
          <w:sz w:val="32"/>
          <w:szCs w:val="32"/>
          <w14:textFill>
            <w14:solidFill>
              <w14:schemeClr w14:val="tx1"/>
            </w14:solidFill>
          </w14:textFill>
        </w:rPr>
        <w:t>金交易的客户、供应商</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采取实地走访、函证等核查程序</w:t>
      </w:r>
      <w:r>
        <w:rPr>
          <w:rFonts w:hint="eastAsia" w:ascii="仿宋_GB2312" w:hAnsi="宋体" w:eastAsia="仿宋_GB2312"/>
          <w:color w:val="000000" w:themeColor="text1"/>
          <w:sz w:val="32"/>
          <w:szCs w:val="32"/>
          <w14:textFill>
            <w14:solidFill>
              <w14:schemeClr w14:val="tx1"/>
            </w14:solidFill>
          </w14:textFill>
        </w:rPr>
        <w:t>，并结合</w:t>
      </w:r>
      <w:r>
        <w:rPr>
          <w:rFonts w:ascii="仿宋_GB2312" w:hAnsi="宋体" w:eastAsia="仿宋_GB2312"/>
          <w:color w:val="000000" w:themeColor="text1"/>
          <w:sz w:val="32"/>
          <w:szCs w:val="32"/>
          <w14:textFill>
            <w14:solidFill>
              <w14:schemeClr w14:val="tx1"/>
            </w14:solidFill>
          </w14:textFill>
        </w:rPr>
        <w:t>发行人的</w:t>
      </w:r>
      <w:r>
        <w:rPr>
          <w:rFonts w:hint="eastAsia" w:ascii="仿宋_GB2312" w:hAnsi="宋体" w:eastAsia="仿宋_GB2312"/>
          <w:color w:val="000000" w:themeColor="text1"/>
          <w:sz w:val="32"/>
          <w:szCs w:val="32"/>
          <w14:textFill>
            <w14:solidFill>
              <w14:schemeClr w14:val="tx1"/>
            </w14:solidFill>
          </w14:textFill>
        </w:rPr>
        <w:t>业务特点及行业惯例</w:t>
      </w:r>
      <w:r>
        <w:rPr>
          <w:rFonts w:ascii="仿宋_GB2312" w:hAnsi="宋体" w:eastAsia="仿宋_GB2312"/>
          <w:color w:val="000000" w:themeColor="text1"/>
          <w:sz w:val="32"/>
          <w:szCs w:val="32"/>
          <w14:textFill>
            <w14:solidFill>
              <w14:schemeClr w14:val="tx1"/>
            </w14:solidFill>
          </w14:textFill>
        </w:rPr>
        <w:t>（如，农业企业的采购环节，餐饮业的销售环节），抽查现金交易的原始交易单据及支持性单据，</w:t>
      </w:r>
      <w:r>
        <w:rPr>
          <w:rFonts w:hint="eastAsia" w:ascii="仿宋_GB2312" w:hAnsi="宋体" w:eastAsia="仿宋_GB2312"/>
          <w:color w:val="000000" w:themeColor="text1"/>
          <w:sz w:val="32"/>
          <w:szCs w:val="32"/>
          <w14:textFill>
            <w14:solidFill>
              <w14:schemeClr w14:val="tx1"/>
            </w14:solidFill>
          </w14:textFill>
        </w:rPr>
        <w:t>进一步判断大额现金交易对发行人销售、采购业务真实性的影响</w:t>
      </w:r>
      <w:r>
        <w:rPr>
          <w:rFonts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5、对于理财产品的核查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eastAsia="zh-Hans"/>
          <w14:textFill>
            <w14:solidFill>
              <w14:schemeClr w14:val="tx1"/>
            </w14:solidFill>
          </w14:textFill>
        </w:rPr>
        <w:t>发行人存在</w:t>
      </w:r>
      <w:r>
        <w:rPr>
          <w:rFonts w:hint="eastAsia" w:ascii="仿宋_GB2312" w:hAnsi="宋体" w:eastAsia="仿宋_GB2312"/>
          <w:color w:val="000000" w:themeColor="text1"/>
          <w:sz w:val="32"/>
          <w:szCs w:val="32"/>
          <w14:textFill>
            <w14:solidFill>
              <w14:schemeClr w14:val="tx1"/>
            </w14:solidFill>
          </w14:textFill>
        </w:rPr>
        <w:t>大额资金用于购买理财产品的，</w:t>
      </w:r>
      <w:r>
        <w:rPr>
          <w:rFonts w:hint="eastAsia" w:ascii="仿宋_GB2312" w:hAnsi="宋体" w:eastAsia="仿宋_GB2312"/>
          <w:color w:val="000000" w:themeColor="text1"/>
          <w:sz w:val="32"/>
          <w:szCs w:val="32"/>
          <w:lang w:eastAsia="zh-Hans"/>
          <w14:textFill>
            <w14:solidFill>
              <w14:schemeClr w14:val="tx1"/>
            </w14:solidFill>
          </w14:textFill>
        </w:rPr>
        <w:t>应</w:t>
      </w:r>
      <w:r>
        <w:rPr>
          <w:rFonts w:hint="eastAsia" w:ascii="仿宋_GB2312" w:hAnsi="宋体" w:eastAsia="仿宋_GB2312"/>
          <w:color w:val="000000" w:themeColor="text1"/>
          <w:sz w:val="32"/>
          <w:szCs w:val="32"/>
          <w14:textFill>
            <w14:solidFill>
              <w14:schemeClr w14:val="tx1"/>
            </w14:solidFill>
          </w14:textFill>
        </w:rPr>
        <w:t>核查相关产品的发行主体、产品类型，是否涉及定制化理财产品以及是否存在资金流向实际控制人、客户、供应商及关联方等情形。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w:t>
      </w:r>
      <w:r>
        <w:rPr>
          <w:rFonts w:ascii="仿宋_GB2312" w:hAnsi="宋体" w:eastAsia="仿宋_GB2312"/>
          <w:color w:val="000000" w:themeColor="text1"/>
          <w:sz w:val="32"/>
          <w:szCs w:val="32"/>
          <w14:textFill>
            <w14:solidFill>
              <w14:schemeClr w14:val="tx1"/>
            </w14:solidFill>
          </w14:textFill>
        </w:rPr>
        <w:t>对异常或非经常性的资金往来的核查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获取货币资金明细账，检查是否存在性质异常或非经常性的大额交易，如</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向</w:t>
      </w:r>
      <w:r>
        <w:rPr>
          <w:rFonts w:ascii="仿宋_GB2312" w:hAnsi="宋体" w:eastAsia="仿宋_GB2312"/>
          <w:color w:val="000000" w:themeColor="text1"/>
          <w:sz w:val="32"/>
          <w:szCs w:val="32"/>
          <w14:textFill>
            <w14:solidFill>
              <w14:schemeClr w14:val="tx1"/>
            </w14:solidFill>
          </w14:textFill>
        </w:rPr>
        <w:t>供应商收取款项或向客户支付款项</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2）与关联方之间的非交易性往来，及与客户、供应商之外主体的款项往来</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3）与自然人之间</w:t>
      </w:r>
      <w:r>
        <w:rPr>
          <w:rFonts w:hint="eastAsia" w:ascii="仿宋_GB2312" w:hAnsi="宋体" w:eastAsia="仿宋_GB2312"/>
          <w:color w:val="000000" w:themeColor="text1"/>
          <w:sz w:val="32"/>
          <w:szCs w:val="32"/>
          <w14:textFill>
            <w14:solidFill>
              <w14:schemeClr w14:val="tx1"/>
            </w14:solidFill>
          </w14:textFill>
        </w:rPr>
        <w:t>大额</w:t>
      </w:r>
      <w:r>
        <w:rPr>
          <w:rFonts w:ascii="仿宋_GB2312" w:hAnsi="宋体" w:eastAsia="仿宋_GB2312"/>
          <w:color w:val="000000" w:themeColor="text1"/>
          <w:sz w:val="32"/>
          <w:szCs w:val="32"/>
          <w14:textFill>
            <w14:solidFill>
              <w14:schemeClr w14:val="tx1"/>
            </w14:solidFill>
          </w14:textFill>
        </w:rPr>
        <w:t>款项往来</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4）收取款项后的又将款项退回，及相反的款项往来操作</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5）年初发生的大额、频繁款项收支</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（6）发行人大额购买无实物形态的资产或服务;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（7）发行人同一账户或不同账户之间存在金额、日期相近的异常大额资金进出;</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（8）实际控制人个人账户存在较多大额资金往来,或者频繁出现大额取现、存现情形;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（9）控股股东、实际控制人、董事、监事、高级管理人员、关键岗位人员从发行人获得大额现金分红、薪酬或资产转让款、转让发行人股权获得大额股权转让款,主要资金流向或用途存在重大异常;</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（10）控股股东、实际控制人、董事、监事、高级管理人员、关键岗位人员与发行人关联方、客户、供应商存在异常大额资金往来;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针对前述的交易，保荐人通过</w:t>
      </w:r>
      <w:r>
        <w:rPr>
          <w:rFonts w:ascii="仿宋_GB2312" w:hAnsi="宋体" w:eastAsia="仿宋_GB2312"/>
          <w:color w:val="000000" w:themeColor="text1"/>
          <w:sz w:val="32"/>
          <w:szCs w:val="32"/>
          <w14:textFill>
            <w14:solidFill>
              <w14:schemeClr w14:val="tx1"/>
            </w14:solidFill>
          </w14:textFill>
        </w:rPr>
        <w:t>查阅该类交易相关的支持文件，如合同、发票、出/入库记录、收/付款单据等，询问管理层</w:t>
      </w:r>
      <w:r>
        <w:rPr>
          <w:rFonts w:hint="eastAsia" w:ascii="仿宋_GB2312" w:hAnsi="宋体" w:eastAsia="仿宋_GB2312"/>
          <w:color w:val="000000" w:themeColor="text1"/>
          <w:sz w:val="32"/>
          <w:szCs w:val="32"/>
          <w14:textFill>
            <w14:solidFill>
              <w14:schemeClr w14:val="tx1"/>
            </w14:solidFill>
          </w14:textFill>
        </w:rPr>
        <w:t>、会计师</w:t>
      </w:r>
      <w:r>
        <w:rPr>
          <w:rFonts w:ascii="仿宋_GB2312" w:hAnsi="宋体" w:eastAsia="仿宋_GB2312"/>
          <w:color w:val="000000" w:themeColor="text1"/>
          <w:sz w:val="32"/>
          <w:szCs w:val="32"/>
          <w14:textFill>
            <w14:solidFill>
              <w14:schemeClr w14:val="tx1"/>
            </w14:solidFill>
          </w14:textFill>
        </w:rPr>
        <w:t>，核查交易是否具有合理的商业理由，是否经过恰当的审批，以</w:t>
      </w:r>
      <w:r>
        <w:rPr>
          <w:rFonts w:hint="eastAsia" w:ascii="仿宋_GB2312" w:hAnsi="宋体" w:eastAsia="仿宋_GB2312"/>
          <w:color w:val="000000" w:themeColor="text1"/>
          <w:sz w:val="32"/>
          <w:szCs w:val="32"/>
          <w14:textFill>
            <w14:solidFill>
              <w14:schemeClr w14:val="tx1"/>
            </w14:solidFill>
          </w14:textFill>
        </w:rPr>
        <w:t>验证</w:t>
      </w:r>
      <w:r>
        <w:rPr>
          <w:rFonts w:ascii="仿宋_GB2312" w:hAnsi="宋体" w:eastAsia="仿宋_GB2312"/>
          <w:color w:val="000000" w:themeColor="text1"/>
          <w:sz w:val="32"/>
          <w:szCs w:val="32"/>
          <w14:textFill>
            <w14:solidFill>
              <w14:schemeClr w14:val="tx1"/>
            </w14:solidFill>
          </w14:textFill>
        </w:rPr>
        <w:t>交易的真实性。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7、</w:t>
      </w:r>
      <w:r>
        <w:rPr>
          <w:rFonts w:ascii="仿宋_GB2312" w:hAnsi="宋体" w:eastAsia="仿宋_GB2312"/>
          <w:color w:val="000000" w:themeColor="text1"/>
          <w:sz w:val="32"/>
          <w:szCs w:val="32"/>
          <w14:textFill>
            <w14:solidFill>
              <w14:schemeClr w14:val="tx1"/>
            </w14:solidFill>
          </w14:textFill>
        </w:rPr>
        <w:t>其他货币资金</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其他货币资金主要包括信用证保证金存款、票据保证金存款、信用卡存款、银行汇（本）票存款、存出投资款和外埠存款等。除前述核查要求外，其他货币资金</w:t>
      </w:r>
      <w:r>
        <w:rPr>
          <w:rFonts w:hint="eastAsia" w:ascii="仿宋_GB2312" w:hAnsi="宋体" w:eastAsia="仿宋_GB2312"/>
          <w:color w:val="000000" w:themeColor="text1"/>
          <w:sz w:val="32"/>
          <w:szCs w:val="32"/>
          <w14:textFill>
            <w14:solidFill>
              <w14:schemeClr w14:val="tx1"/>
            </w14:solidFill>
          </w14:textFill>
        </w:rPr>
        <w:t>尽职调查中采取：</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了解</w:t>
      </w:r>
      <w:r>
        <w:rPr>
          <w:rFonts w:ascii="仿宋_GB2312" w:hAnsi="宋体" w:eastAsia="仿宋_GB2312"/>
          <w:color w:val="000000" w:themeColor="text1"/>
          <w:sz w:val="32"/>
          <w:szCs w:val="32"/>
          <w14:textFill>
            <w14:solidFill>
              <w14:schemeClr w14:val="tx1"/>
            </w14:solidFill>
          </w14:textFill>
        </w:rPr>
        <w:t>其他货币资金的用途，</w:t>
      </w:r>
      <w:r>
        <w:rPr>
          <w:rFonts w:hint="eastAsia" w:ascii="仿宋_GB2312" w:hAnsi="宋体" w:eastAsia="仿宋_GB2312"/>
          <w:color w:val="000000" w:themeColor="text1"/>
          <w:sz w:val="32"/>
          <w:szCs w:val="32"/>
          <w14:textFill>
            <w14:solidFill>
              <w14:schemeClr w14:val="tx1"/>
            </w14:solidFill>
          </w14:textFill>
        </w:rPr>
        <w:t>核查</w:t>
      </w:r>
      <w:r>
        <w:rPr>
          <w:rFonts w:ascii="仿宋_GB2312" w:hAnsi="宋体" w:eastAsia="仿宋_GB2312"/>
          <w:color w:val="000000" w:themeColor="text1"/>
          <w:sz w:val="32"/>
          <w:szCs w:val="32"/>
          <w14:textFill>
            <w14:solidFill>
              <w14:schemeClr w14:val="tx1"/>
            </w14:solidFill>
          </w14:textFill>
        </w:rPr>
        <w:t>是否符合发行人的业务活动及是否具备合理性</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查阅</w:t>
      </w:r>
      <w:r>
        <w:rPr>
          <w:rFonts w:ascii="仿宋_GB2312" w:hAnsi="宋体" w:eastAsia="仿宋_GB2312"/>
          <w:color w:val="000000" w:themeColor="text1"/>
          <w:sz w:val="32"/>
          <w:szCs w:val="32"/>
          <w14:textFill>
            <w14:solidFill>
              <w14:schemeClr w14:val="tx1"/>
            </w14:solidFill>
          </w14:textFill>
        </w:rPr>
        <w:t>银行</w:t>
      </w:r>
      <w:r>
        <w:rPr>
          <w:rFonts w:hint="eastAsia" w:ascii="仿宋_GB2312" w:hAnsi="宋体" w:eastAsia="仿宋_GB2312"/>
          <w:color w:val="000000" w:themeColor="text1"/>
          <w:sz w:val="32"/>
          <w:szCs w:val="32"/>
          <w14:textFill>
            <w14:solidFill>
              <w14:schemeClr w14:val="tx1"/>
            </w14:solidFill>
          </w14:textFill>
        </w:rPr>
        <w:t>回函</w:t>
      </w:r>
      <w:r>
        <w:rPr>
          <w:rFonts w:ascii="仿宋_GB2312" w:hAnsi="宋体" w:eastAsia="仿宋_GB2312"/>
          <w:color w:val="000000" w:themeColor="text1"/>
          <w:sz w:val="32"/>
          <w:szCs w:val="32"/>
          <w14:textFill>
            <w14:solidFill>
              <w14:schemeClr w14:val="tx1"/>
            </w14:solidFill>
          </w14:textFill>
        </w:rPr>
        <w:t>或查阅</w:t>
      </w:r>
      <w:r>
        <w:rPr>
          <w:rFonts w:hint="eastAsia" w:ascii="仿宋_GB2312" w:hAnsi="宋体" w:eastAsia="仿宋_GB2312"/>
          <w:color w:val="000000" w:themeColor="text1"/>
          <w:sz w:val="32"/>
          <w:szCs w:val="32"/>
          <w14:textFill>
            <w14:solidFill>
              <w14:schemeClr w14:val="tx1"/>
            </w14:solidFill>
          </w14:textFill>
        </w:rPr>
        <w:t>相关</w:t>
      </w:r>
      <w:r>
        <w:rPr>
          <w:rFonts w:ascii="仿宋_GB2312" w:hAnsi="宋体" w:eastAsia="仿宋_GB2312"/>
          <w:color w:val="000000" w:themeColor="text1"/>
          <w:sz w:val="32"/>
          <w:szCs w:val="32"/>
          <w14:textFill>
            <w14:solidFill>
              <w14:schemeClr w14:val="tx1"/>
            </w14:solidFill>
          </w14:textFill>
        </w:rPr>
        <w:t>协议，</w:t>
      </w:r>
      <w:r>
        <w:rPr>
          <w:rFonts w:hint="eastAsia" w:ascii="仿宋_GB2312" w:hAnsi="宋体" w:eastAsia="仿宋_GB2312"/>
          <w:color w:val="000000" w:themeColor="text1"/>
          <w:sz w:val="32"/>
          <w:szCs w:val="32"/>
          <w14:textFill>
            <w14:solidFill>
              <w14:schemeClr w14:val="tx1"/>
            </w14:solidFill>
          </w14:textFill>
        </w:rPr>
        <w:t>核查货币</w:t>
      </w:r>
      <w:r>
        <w:rPr>
          <w:rFonts w:ascii="仿宋_GB2312" w:hAnsi="宋体" w:eastAsia="仿宋_GB2312"/>
          <w:color w:val="000000" w:themeColor="text1"/>
          <w:sz w:val="32"/>
          <w:szCs w:val="32"/>
          <w14:textFill>
            <w14:solidFill>
              <w14:schemeClr w14:val="tx1"/>
            </w14:solidFill>
          </w14:textFill>
        </w:rPr>
        <w:t>资金的受限情况</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查阅</w:t>
      </w:r>
      <w:r>
        <w:rPr>
          <w:rFonts w:ascii="仿宋_GB2312" w:hAnsi="宋体" w:eastAsia="仿宋_GB2312"/>
          <w:color w:val="000000" w:themeColor="text1"/>
          <w:sz w:val="32"/>
          <w:szCs w:val="32"/>
          <w14:textFill>
            <w14:solidFill>
              <w14:schemeClr w14:val="tx1"/>
            </w14:solidFill>
          </w14:textFill>
        </w:rPr>
        <w:t>保证金存款协议</w:t>
      </w:r>
      <w:r>
        <w:rPr>
          <w:rFonts w:hint="eastAsia" w:ascii="仿宋_GB2312" w:hAnsi="宋体" w:eastAsia="仿宋_GB2312"/>
          <w:color w:val="000000" w:themeColor="text1"/>
          <w:sz w:val="32"/>
          <w:szCs w:val="32"/>
          <w14:textFill>
            <w14:solidFill>
              <w14:schemeClr w14:val="tx1"/>
            </w14:solidFill>
          </w14:textFill>
        </w:rPr>
        <w:t>，分析</w:t>
      </w:r>
      <w:r>
        <w:rPr>
          <w:rFonts w:ascii="仿宋_GB2312" w:hAnsi="宋体" w:eastAsia="仿宋_GB2312"/>
          <w:color w:val="000000" w:themeColor="text1"/>
          <w:sz w:val="32"/>
          <w:szCs w:val="32"/>
          <w14:textFill>
            <w14:solidFill>
              <w14:schemeClr w14:val="tx1"/>
            </w14:solidFill>
          </w14:textFill>
        </w:rPr>
        <w:t>缴存比例合理性、及与相关财务报表科目的勾稽关系</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了解</w:t>
      </w:r>
      <w:r>
        <w:rPr>
          <w:rFonts w:ascii="仿宋_GB2312" w:hAnsi="宋体" w:eastAsia="仿宋_GB2312"/>
          <w:color w:val="000000" w:themeColor="text1"/>
          <w:sz w:val="32"/>
          <w:szCs w:val="32"/>
          <w14:textFill>
            <w14:solidFill>
              <w14:schemeClr w14:val="tx1"/>
            </w14:solidFill>
          </w14:textFill>
        </w:rPr>
        <w:t>其他货币资金的期后转回情况（如有）</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8、</w:t>
      </w:r>
      <w:r>
        <w:rPr>
          <w:rFonts w:ascii="仿宋_GB2312" w:hAnsi="宋体" w:eastAsia="仿宋_GB2312"/>
          <w:color w:val="000000" w:themeColor="text1"/>
          <w:sz w:val="32"/>
          <w:szCs w:val="32"/>
          <w14:textFill>
            <w14:solidFill>
              <w14:schemeClr w14:val="tx1"/>
            </w14:solidFill>
          </w14:textFill>
        </w:rPr>
        <w:t>第三方</w:t>
      </w:r>
      <w:r>
        <w:rPr>
          <w:rFonts w:hint="eastAsia" w:ascii="仿宋_GB2312" w:hAnsi="宋体" w:eastAsia="仿宋_GB2312"/>
          <w:color w:val="000000" w:themeColor="text1"/>
          <w:sz w:val="32"/>
          <w:szCs w:val="32"/>
          <w14:textFill>
            <w14:solidFill>
              <w14:schemeClr w14:val="tx1"/>
            </w14:solidFill>
          </w14:textFill>
        </w:rPr>
        <w:t>支付</w:t>
      </w:r>
      <w:r>
        <w:rPr>
          <w:rFonts w:ascii="仿宋_GB2312" w:hAnsi="宋体" w:eastAsia="仿宋_GB2312"/>
          <w:color w:val="000000" w:themeColor="text1"/>
          <w:sz w:val="32"/>
          <w:szCs w:val="32"/>
          <w14:textFill>
            <w14:solidFill>
              <w14:schemeClr w14:val="tx1"/>
            </w14:solidFill>
          </w14:textFill>
        </w:rPr>
        <w:t>平台</w:t>
      </w:r>
      <w:r>
        <w:rPr>
          <w:rFonts w:hint="eastAsia" w:ascii="仿宋_GB2312" w:hAnsi="宋体" w:eastAsia="仿宋_GB2312"/>
          <w:color w:val="000000" w:themeColor="text1"/>
          <w:sz w:val="32"/>
          <w:szCs w:val="32"/>
          <w14:textFill>
            <w14:solidFill>
              <w14:schemeClr w14:val="tx1"/>
            </w14:solidFill>
          </w14:textFill>
        </w:rPr>
        <w:t>结算的</w:t>
      </w:r>
      <w:r>
        <w:rPr>
          <w:rFonts w:ascii="仿宋_GB2312" w:hAnsi="宋体" w:eastAsia="仿宋_GB2312"/>
          <w:color w:val="000000" w:themeColor="text1"/>
          <w:sz w:val="32"/>
          <w:szCs w:val="32"/>
          <w14:textFill>
            <w14:solidFill>
              <w14:schemeClr w14:val="tx1"/>
            </w14:solidFill>
          </w14:textFill>
        </w:rPr>
        <w:t>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第三方</w:t>
      </w:r>
      <w:r>
        <w:rPr>
          <w:rFonts w:hint="eastAsia" w:ascii="仿宋_GB2312" w:hAnsi="宋体" w:eastAsia="仿宋_GB2312"/>
          <w:color w:val="000000" w:themeColor="text1"/>
          <w:sz w:val="32"/>
          <w:szCs w:val="32"/>
          <w14:textFill>
            <w14:solidFill>
              <w14:schemeClr w14:val="tx1"/>
            </w14:solidFill>
          </w14:textFill>
        </w:rPr>
        <w:t>支付</w:t>
      </w:r>
      <w:r>
        <w:rPr>
          <w:rFonts w:ascii="仿宋_GB2312" w:hAnsi="宋体" w:eastAsia="仿宋_GB2312"/>
          <w:color w:val="000000" w:themeColor="text1"/>
          <w:sz w:val="32"/>
          <w:szCs w:val="32"/>
          <w14:textFill>
            <w14:solidFill>
              <w14:schemeClr w14:val="tx1"/>
            </w14:solidFill>
          </w14:textFill>
        </w:rPr>
        <w:t>平台</w:t>
      </w:r>
      <w:r>
        <w:rPr>
          <w:rFonts w:hint="eastAsia" w:ascii="仿宋_GB2312" w:hAnsi="宋体" w:eastAsia="仿宋_GB2312"/>
          <w:color w:val="000000" w:themeColor="text1"/>
          <w:sz w:val="32"/>
          <w:szCs w:val="32"/>
          <w14:textFill>
            <w14:solidFill>
              <w14:schemeClr w14:val="tx1"/>
            </w14:solidFill>
          </w14:textFill>
        </w:rPr>
        <w:t>结算</w:t>
      </w:r>
      <w:r>
        <w:rPr>
          <w:rFonts w:ascii="仿宋_GB2312" w:hAnsi="宋体" w:eastAsia="仿宋_GB2312"/>
          <w:color w:val="000000" w:themeColor="text1"/>
          <w:sz w:val="32"/>
          <w:szCs w:val="32"/>
          <w14:textFill>
            <w14:solidFill>
              <w14:schemeClr w14:val="tx1"/>
            </w14:solidFill>
          </w14:textFill>
        </w:rPr>
        <w:t>主要指发行人在日常交易中频繁、大量</w:t>
      </w:r>
      <w:r>
        <w:rPr>
          <w:rFonts w:hint="eastAsia" w:ascii="仿宋_GB2312" w:hAnsi="宋体" w:eastAsia="仿宋_GB2312"/>
          <w:color w:val="000000" w:themeColor="text1"/>
          <w:sz w:val="32"/>
          <w:szCs w:val="32"/>
          <w14:textFill>
            <w14:solidFill>
              <w14:schemeClr w14:val="tx1"/>
            </w14:solidFill>
          </w14:textFill>
        </w:rPr>
        <w:t>地</w:t>
      </w:r>
      <w:r>
        <w:rPr>
          <w:rFonts w:ascii="仿宋_GB2312" w:hAnsi="宋体" w:eastAsia="仿宋_GB2312"/>
          <w:color w:val="000000" w:themeColor="text1"/>
          <w:sz w:val="32"/>
          <w:szCs w:val="32"/>
          <w14:textFill>
            <w14:solidFill>
              <w14:schemeClr w14:val="tx1"/>
            </w14:solidFill>
          </w14:textFill>
        </w:rPr>
        <w:t>采用</w:t>
      </w:r>
      <w:r>
        <w:rPr>
          <w:rFonts w:hint="eastAsia" w:ascii="仿宋_GB2312" w:hAnsi="宋体" w:eastAsia="仿宋_GB2312"/>
          <w:color w:val="000000" w:themeColor="text1"/>
          <w:sz w:val="32"/>
          <w:szCs w:val="32"/>
          <w14:textFill>
            <w14:solidFill>
              <w14:schemeClr w14:val="tx1"/>
            </w14:solidFill>
          </w14:textFill>
        </w:rPr>
        <w:t>微信、</w:t>
      </w:r>
      <w:r>
        <w:rPr>
          <w:rFonts w:ascii="仿宋_GB2312" w:hAnsi="宋体" w:eastAsia="仿宋_GB2312"/>
          <w:color w:val="000000" w:themeColor="text1"/>
          <w:sz w:val="32"/>
          <w:szCs w:val="32"/>
          <w14:textFill>
            <w14:solidFill>
              <w14:schemeClr w14:val="tx1"/>
            </w14:solidFill>
          </w14:textFill>
        </w:rPr>
        <w:t>支付宝等</w:t>
      </w:r>
      <w:r>
        <w:rPr>
          <w:rFonts w:hint="eastAsia" w:ascii="仿宋_GB2312" w:hAnsi="宋体" w:eastAsia="仿宋_GB2312"/>
          <w:color w:val="000000" w:themeColor="text1"/>
          <w:sz w:val="32"/>
          <w:szCs w:val="32"/>
          <w14:textFill>
            <w14:solidFill>
              <w14:schemeClr w14:val="tx1"/>
            </w14:solidFill>
          </w14:textFill>
        </w:rPr>
        <w:t>第三方支付平台进行款项结算。保荐人可以</w:t>
      </w:r>
      <w:r>
        <w:rPr>
          <w:rFonts w:ascii="仿宋_GB2312" w:hAnsi="宋体" w:eastAsia="仿宋_GB2312"/>
          <w:color w:val="000000" w:themeColor="text1"/>
          <w:sz w:val="32"/>
          <w:szCs w:val="32"/>
          <w14:textFill>
            <w14:solidFill>
              <w14:schemeClr w14:val="tx1"/>
            </w14:solidFill>
          </w14:textFill>
        </w:rPr>
        <w:t>结合发行人的业务模式，</w:t>
      </w:r>
      <w:r>
        <w:rPr>
          <w:rFonts w:hint="eastAsia" w:ascii="仿宋_GB2312" w:hAnsi="宋体" w:eastAsia="仿宋_GB2312"/>
          <w:color w:val="000000" w:themeColor="text1"/>
          <w:sz w:val="32"/>
          <w:szCs w:val="32"/>
          <w14:textFill>
            <w14:solidFill>
              <w14:schemeClr w14:val="tx1"/>
            </w14:solidFill>
          </w14:textFill>
        </w:rPr>
        <w:t>尽职调查中采取</w:t>
      </w:r>
      <w:r>
        <w:rPr>
          <w:rFonts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1）了解并评价</w:t>
      </w:r>
      <w:r>
        <w:rPr>
          <w:rFonts w:hint="eastAsia" w:ascii="仿宋_GB2312" w:hAnsi="宋体" w:eastAsia="仿宋_GB2312"/>
          <w:color w:val="000000" w:themeColor="text1"/>
          <w:sz w:val="32"/>
          <w:szCs w:val="32"/>
          <w14:textFill>
            <w14:solidFill>
              <w14:schemeClr w14:val="tx1"/>
            </w14:solidFill>
          </w14:textFill>
        </w:rPr>
        <w:t>采用</w:t>
      </w:r>
      <w:r>
        <w:rPr>
          <w:rFonts w:ascii="仿宋_GB2312" w:hAnsi="宋体" w:eastAsia="仿宋_GB2312"/>
          <w:color w:val="000000" w:themeColor="text1"/>
          <w:sz w:val="32"/>
          <w:szCs w:val="32"/>
          <w14:textFill>
            <w14:solidFill>
              <w14:schemeClr w14:val="tx1"/>
            </w14:solidFill>
          </w14:textFill>
        </w:rPr>
        <w:t>第三方</w:t>
      </w:r>
      <w:r>
        <w:rPr>
          <w:rFonts w:hint="eastAsia" w:ascii="仿宋_GB2312" w:hAnsi="宋体" w:eastAsia="仿宋_GB2312"/>
          <w:color w:val="000000" w:themeColor="text1"/>
          <w:sz w:val="32"/>
          <w:szCs w:val="32"/>
          <w14:textFill>
            <w14:solidFill>
              <w14:schemeClr w14:val="tx1"/>
            </w14:solidFill>
          </w14:textFill>
        </w:rPr>
        <w:t>支付</w:t>
      </w:r>
      <w:r>
        <w:rPr>
          <w:rFonts w:ascii="仿宋_GB2312" w:hAnsi="宋体" w:eastAsia="仿宋_GB2312"/>
          <w:color w:val="000000" w:themeColor="text1"/>
          <w:sz w:val="32"/>
          <w:szCs w:val="32"/>
          <w14:textFill>
            <w14:solidFill>
              <w14:schemeClr w14:val="tx1"/>
            </w14:solidFill>
          </w14:textFill>
        </w:rPr>
        <w:t>平台</w:t>
      </w:r>
      <w:r>
        <w:rPr>
          <w:rFonts w:hint="eastAsia" w:ascii="仿宋_GB2312" w:hAnsi="宋体" w:eastAsia="仿宋_GB2312"/>
          <w:color w:val="000000" w:themeColor="text1"/>
          <w:sz w:val="32"/>
          <w:szCs w:val="32"/>
          <w14:textFill>
            <w14:solidFill>
              <w14:schemeClr w14:val="tx1"/>
            </w14:solidFill>
          </w14:textFill>
        </w:rPr>
        <w:t>结算相关的内</w:t>
      </w:r>
      <w:r>
        <w:rPr>
          <w:rFonts w:ascii="仿宋_GB2312" w:hAnsi="宋体" w:eastAsia="仿宋_GB2312"/>
          <w:color w:val="000000" w:themeColor="text1"/>
          <w:sz w:val="32"/>
          <w:szCs w:val="32"/>
          <w14:textFill>
            <w14:solidFill>
              <w14:schemeClr w14:val="tx1"/>
            </w14:solidFill>
          </w14:textFill>
        </w:rPr>
        <w:t>控管理</w:t>
      </w:r>
      <w:r>
        <w:rPr>
          <w:rFonts w:hint="eastAsia" w:ascii="仿宋_GB2312" w:hAnsi="宋体" w:eastAsia="仿宋_GB2312"/>
          <w:color w:val="000000" w:themeColor="text1"/>
          <w:sz w:val="32"/>
          <w:szCs w:val="32"/>
          <w14:textFill>
            <w14:solidFill>
              <w14:schemeClr w14:val="tx1"/>
            </w14:solidFill>
          </w14:textFill>
        </w:rPr>
        <w:t>制度及其运行</w:t>
      </w:r>
      <w:r>
        <w:rPr>
          <w:rFonts w:ascii="仿宋_GB2312" w:hAnsi="宋体" w:eastAsia="仿宋_GB2312"/>
          <w:color w:val="000000" w:themeColor="text1"/>
          <w:sz w:val="32"/>
          <w:szCs w:val="32"/>
          <w14:textFill>
            <w14:solidFill>
              <w14:schemeClr w14:val="tx1"/>
            </w14:solidFill>
          </w14:textFill>
        </w:rPr>
        <w:t>的有效性，如，账户建立及绑定流程、转账业务管理、定期对账管理等</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2）核查第三方</w:t>
      </w:r>
      <w:r>
        <w:rPr>
          <w:rFonts w:hint="eastAsia" w:ascii="仿宋_GB2312" w:hAnsi="宋体" w:eastAsia="仿宋_GB2312"/>
          <w:color w:val="000000" w:themeColor="text1"/>
          <w:sz w:val="32"/>
          <w:szCs w:val="32"/>
          <w14:textFill>
            <w14:solidFill>
              <w14:schemeClr w14:val="tx1"/>
            </w14:solidFill>
          </w14:textFill>
        </w:rPr>
        <w:t>支付</w:t>
      </w:r>
      <w:r>
        <w:rPr>
          <w:rFonts w:ascii="仿宋_GB2312" w:hAnsi="宋体" w:eastAsia="仿宋_GB2312"/>
          <w:color w:val="000000" w:themeColor="text1"/>
          <w:sz w:val="32"/>
          <w:szCs w:val="32"/>
          <w14:textFill>
            <w14:solidFill>
              <w14:schemeClr w14:val="tx1"/>
            </w14:solidFill>
          </w14:textFill>
        </w:rPr>
        <w:t>平台账户的完整性，如，通过询问、查询发行人账簿、登陆第三方</w:t>
      </w:r>
      <w:r>
        <w:rPr>
          <w:rFonts w:hint="eastAsia" w:ascii="仿宋_GB2312" w:hAnsi="宋体" w:eastAsia="仿宋_GB2312"/>
          <w:color w:val="000000" w:themeColor="text1"/>
          <w:sz w:val="32"/>
          <w:szCs w:val="32"/>
          <w14:textFill>
            <w14:solidFill>
              <w14:schemeClr w14:val="tx1"/>
            </w14:solidFill>
          </w14:textFill>
        </w:rPr>
        <w:t>支付</w:t>
      </w:r>
      <w:r>
        <w:rPr>
          <w:rFonts w:ascii="仿宋_GB2312" w:hAnsi="宋体" w:eastAsia="仿宋_GB2312"/>
          <w:color w:val="000000" w:themeColor="text1"/>
          <w:sz w:val="32"/>
          <w:szCs w:val="32"/>
          <w14:textFill>
            <w14:solidFill>
              <w14:schemeClr w14:val="tx1"/>
            </w14:solidFill>
          </w14:textFill>
        </w:rPr>
        <w:t>平台管理后台等方式</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3）获取第三方支付</w:t>
      </w:r>
      <w:r>
        <w:rPr>
          <w:rFonts w:hint="eastAsia" w:ascii="仿宋_GB2312" w:hAnsi="宋体" w:eastAsia="仿宋_GB2312"/>
          <w:color w:val="000000" w:themeColor="text1"/>
          <w:sz w:val="32"/>
          <w:szCs w:val="32"/>
          <w14:textFill>
            <w14:solidFill>
              <w14:schemeClr w14:val="tx1"/>
            </w14:solidFill>
          </w14:textFill>
        </w:rPr>
        <w:t>平台</w:t>
      </w:r>
      <w:r>
        <w:rPr>
          <w:rFonts w:ascii="仿宋_GB2312" w:hAnsi="宋体" w:eastAsia="仿宋_GB2312"/>
          <w:color w:val="000000" w:themeColor="text1"/>
          <w:sz w:val="32"/>
          <w:szCs w:val="32"/>
          <w14:textFill>
            <w14:solidFill>
              <w14:schemeClr w14:val="tx1"/>
            </w14:solidFill>
          </w14:textFill>
        </w:rPr>
        <w:t>账户的流水，核对账户的收支情况与日记账是否相符</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4）根据企业经营规模，第三方平台支付账户流水单笔金额、频次</w:t>
      </w:r>
      <w:r>
        <w:rPr>
          <w:rFonts w:hint="eastAsia" w:ascii="仿宋_GB2312" w:hAnsi="宋体" w:eastAsia="仿宋_GB2312"/>
          <w:color w:val="000000" w:themeColor="text1"/>
          <w:sz w:val="32"/>
          <w:szCs w:val="32"/>
          <w14:textFill>
            <w14:solidFill>
              <w14:schemeClr w14:val="tx1"/>
            </w14:solidFill>
          </w14:textFill>
        </w:rPr>
        <w:t>等</w:t>
      </w:r>
      <w:r>
        <w:rPr>
          <w:rFonts w:ascii="仿宋_GB2312" w:hAnsi="宋体" w:eastAsia="仿宋_GB2312"/>
          <w:color w:val="000000" w:themeColor="text1"/>
          <w:sz w:val="32"/>
          <w:szCs w:val="32"/>
          <w14:textFill>
            <w14:solidFill>
              <w14:schemeClr w14:val="tx1"/>
            </w14:solidFill>
          </w14:textFill>
        </w:rPr>
        <w:t>制定</w:t>
      </w:r>
      <w:r>
        <w:rPr>
          <w:rFonts w:hint="eastAsia" w:ascii="仿宋_GB2312" w:hAnsi="宋体" w:eastAsia="仿宋_GB2312"/>
          <w:color w:val="000000" w:themeColor="text1"/>
          <w:sz w:val="32"/>
          <w:szCs w:val="32"/>
          <w14:textFill>
            <w14:solidFill>
              <w14:schemeClr w14:val="tx1"/>
            </w14:solidFill>
          </w14:textFill>
        </w:rPr>
        <w:t>对</w:t>
      </w:r>
      <w:r>
        <w:rPr>
          <w:rFonts w:ascii="仿宋_GB2312" w:hAnsi="宋体" w:eastAsia="仿宋_GB2312"/>
          <w:color w:val="000000" w:themeColor="text1"/>
          <w:sz w:val="32"/>
          <w:szCs w:val="32"/>
          <w14:textFill>
            <w14:solidFill>
              <w14:schemeClr w14:val="tx1"/>
            </w14:solidFill>
          </w14:textFill>
        </w:rPr>
        <w:t>第三方</w:t>
      </w:r>
      <w:r>
        <w:rPr>
          <w:rFonts w:hint="eastAsia" w:ascii="仿宋_GB2312" w:hAnsi="宋体" w:eastAsia="仿宋_GB2312"/>
          <w:color w:val="000000" w:themeColor="text1"/>
          <w:sz w:val="32"/>
          <w:szCs w:val="32"/>
          <w14:textFill>
            <w14:solidFill>
              <w14:schemeClr w14:val="tx1"/>
            </w14:solidFill>
          </w14:textFill>
        </w:rPr>
        <w:t>支付</w:t>
      </w:r>
      <w:r>
        <w:rPr>
          <w:rFonts w:ascii="仿宋_GB2312" w:hAnsi="宋体" w:eastAsia="仿宋_GB2312"/>
          <w:color w:val="000000" w:themeColor="text1"/>
          <w:sz w:val="32"/>
          <w:szCs w:val="32"/>
          <w14:textFill>
            <w14:solidFill>
              <w14:schemeClr w14:val="tx1"/>
            </w14:solidFill>
          </w14:textFill>
        </w:rPr>
        <w:t>平台账户资金流水细节性测试</w:t>
      </w:r>
      <w:r>
        <w:rPr>
          <w:rFonts w:hint="eastAsia" w:ascii="仿宋_GB2312" w:hAnsi="宋体" w:eastAsia="仿宋_GB2312"/>
          <w:color w:val="000000" w:themeColor="text1"/>
          <w:sz w:val="32"/>
          <w:szCs w:val="32"/>
          <w14:textFill>
            <w14:solidFill>
              <w14:schemeClr w14:val="tx1"/>
            </w14:solidFill>
          </w14:textFill>
        </w:rPr>
        <w:t>的核查程序。</w:t>
      </w:r>
    </w:p>
    <w:p>
      <w:pPr>
        <w:tabs>
          <w:tab w:val="left" w:pos="5671"/>
        </w:tabs>
        <w:spacing w:line="360" w:lineRule="auto"/>
        <w:ind w:firstLine="640" w:firstLineChars="200"/>
        <w:outlineLvl w:val="2"/>
        <w:rPr>
          <w:rFonts w:ascii="仿宋_GB2312" w:hAnsi="宋体" w:eastAsia="仿宋_GB2312"/>
          <w:color w:val="000000"/>
          <w:sz w:val="32"/>
          <w:szCs w:val="32"/>
        </w:rPr>
      </w:pPr>
      <w:bookmarkStart w:id="97" w:name="_Toc76472371"/>
      <w:bookmarkStart w:id="98" w:name="_Toc105940632"/>
      <w:r>
        <w:rPr>
          <w:rFonts w:ascii="仿宋_GB2312" w:hAnsi="宋体" w:eastAsia="仿宋_GB2312"/>
          <w:color w:val="000000"/>
          <w:sz w:val="32"/>
          <w:szCs w:val="32"/>
        </w:rPr>
        <w:t xml:space="preserve">4.5.19  </w:t>
      </w:r>
      <w:r>
        <w:rPr>
          <w:rFonts w:hint="eastAsia" w:ascii="仿宋_GB2312" w:hAnsi="宋体" w:eastAsia="仿宋_GB2312"/>
          <w:color w:val="000000"/>
          <w:sz w:val="32"/>
          <w:szCs w:val="32"/>
        </w:rPr>
        <w:t>存货</w:t>
      </w:r>
      <w:bookmarkEnd w:id="97"/>
      <w:bookmarkEnd w:id="98"/>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1、存货的分析</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取得发行人的存货明细表、库龄明细表，了解存货的构成，结合</w:t>
      </w:r>
      <w:r>
        <w:rPr>
          <w:rFonts w:hint="eastAsia" w:ascii="仿宋_GB2312" w:hAnsi="宋体" w:eastAsia="仿宋_GB2312"/>
          <w:color w:val="000000" w:themeColor="text1"/>
          <w:sz w:val="32"/>
          <w:szCs w:val="32"/>
          <w14:textFill>
            <w14:solidFill>
              <w14:schemeClr w14:val="tx1"/>
            </w14:solidFill>
          </w14:textFill>
        </w:rPr>
        <w:t>业务模式</w:t>
      </w:r>
      <w:r>
        <w:rPr>
          <w:rFonts w:ascii="仿宋_GB2312" w:hAnsi="宋体" w:eastAsia="仿宋_GB2312"/>
          <w:color w:val="000000" w:themeColor="text1"/>
          <w:sz w:val="32"/>
          <w:szCs w:val="32"/>
          <w14:textFill>
            <w14:solidFill>
              <w14:schemeClr w14:val="tx1"/>
            </w14:solidFill>
          </w14:textFill>
        </w:rPr>
        <w:t>、生产</w:t>
      </w:r>
      <w:r>
        <w:rPr>
          <w:rFonts w:hint="eastAsia" w:ascii="仿宋_GB2312" w:hAnsi="宋体" w:eastAsia="仿宋_GB2312"/>
          <w:color w:val="000000" w:themeColor="text1"/>
          <w:sz w:val="32"/>
          <w:szCs w:val="32"/>
          <w14:textFill>
            <w14:solidFill>
              <w14:schemeClr w14:val="tx1"/>
            </w14:solidFill>
          </w14:textFill>
        </w:rPr>
        <w:t>情况</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存货管理政策、经营风险</w:t>
      </w:r>
      <w:r>
        <w:rPr>
          <w:rFonts w:ascii="仿宋_GB2312" w:hAnsi="宋体" w:eastAsia="仿宋_GB2312"/>
          <w:color w:val="000000" w:themeColor="text1"/>
          <w:sz w:val="32"/>
          <w:szCs w:val="32"/>
          <w14:textFill>
            <w14:solidFill>
              <w14:schemeClr w14:val="tx1"/>
            </w14:solidFill>
          </w14:textFill>
        </w:rPr>
        <w:t>等</w:t>
      </w:r>
      <w:r>
        <w:rPr>
          <w:rFonts w:hint="eastAsia" w:ascii="仿宋_GB2312" w:hAnsi="宋体" w:eastAsia="仿宋_GB2312"/>
          <w:color w:val="000000" w:themeColor="text1"/>
          <w:sz w:val="32"/>
          <w:szCs w:val="32"/>
          <w14:textFill>
            <w14:solidFill>
              <w14:schemeClr w14:val="tx1"/>
            </w14:solidFill>
          </w14:textFill>
        </w:rPr>
        <w:t>因素</w:t>
      </w:r>
      <w:r>
        <w:rPr>
          <w:rFonts w:ascii="仿宋_GB2312" w:hAnsi="宋体" w:eastAsia="仿宋_GB2312"/>
          <w:color w:val="000000" w:themeColor="text1"/>
          <w:sz w:val="32"/>
          <w:szCs w:val="32"/>
          <w14:textFill>
            <w14:solidFill>
              <w14:schemeClr w14:val="tx1"/>
            </w14:solidFill>
          </w14:textFill>
        </w:rPr>
        <w:t>，核查存货余额和结构在报告期内大幅变动的原因</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分析存货库龄结构的合理性并核查存货的期后结转情况。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存货余额较大的，了解存货余额较大的原因，并结合原料的采购周期、生产周期、产品特点及同行业可比公司的状况等，</w:t>
      </w:r>
      <w:r>
        <w:rPr>
          <w:rFonts w:hint="eastAsia" w:ascii="仿宋_GB2312" w:hAnsi="宋体" w:eastAsia="仿宋_GB2312"/>
          <w:color w:val="000000" w:themeColor="text1"/>
          <w:sz w:val="32"/>
          <w:szCs w:val="32"/>
          <w14:textFill>
            <w14:solidFill>
              <w14:schemeClr w14:val="tx1"/>
            </w14:solidFill>
          </w14:textFill>
        </w:rPr>
        <w:t>分析</w:t>
      </w:r>
      <w:r>
        <w:rPr>
          <w:rFonts w:ascii="仿宋_GB2312" w:hAnsi="宋体" w:eastAsia="仿宋_GB2312"/>
          <w:color w:val="000000" w:themeColor="text1"/>
          <w:sz w:val="32"/>
          <w:szCs w:val="32"/>
          <w14:textFill>
            <w14:solidFill>
              <w14:schemeClr w14:val="tx1"/>
            </w14:solidFill>
          </w14:textFill>
        </w:rPr>
        <w:t>存货余额较大的合理性。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计算发行人的存货周转率，并与同行业可比公司进行比较，分析报告期内存货周转率变动的原因和合理性，如存货周转率较低的，</w:t>
      </w:r>
      <w:r>
        <w:rPr>
          <w:rFonts w:hint="eastAsia" w:ascii="仿宋_GB2312" w:hAnsi="宋体" w:eastAsia="仿宋_GB2312"/>
          <w:color w:val="000000" w:themeColor="text1"/>
          <w:sz w:val="32"/>
          <w:szCs w:val="32"/>
          <w14:textFill>
            <w14:solidFill>
              <w14:schemeClr w14:val="tx1"/>
            </w14:solidFill>
          </w14:textFill>
        </w:rPr>
        <w:t>分析</w:t>
      </w:r>
      <w:r>
        <w:rPr>
          <w:rFonts w:ascii="仿宋_GB2312" w:hAnsi="宋体" w:eastAsia="仿宋_GB2312"/>
          <w:color w:val="000000" w:themeColor="text1"/>
          <w:sz w:val="32"/>
          <w:szCs w:val="32"/>
          <w14:textFill>
            <w14:solidFill>
              <w14:schemeClr w14:val="tx1"/>
            </w14:solidFill>
          </w14:textFill>
        </w:rPr>
        <w:t>原因和合理性</w:t>
      </w:r>
      <w:r>
        <w:rPr>
          <w:rFonts w:hint="eastAsia" w:ascii="仿宋_GB2312" w:hAnsi="宋体" w:eastAsia="仿宋_GB2312"/>
          <w:color w:val="000000" w:themeColor="text1"/>
          <w:sz w:val="32"/>
          <w:szCs w:val="32"/>
          <w14:textFill>
            <w14:solidFill>
              <w14:schemeClr w14:val="tx1"/>
            </w14:solidFill>
          </w14:textFill>
        </w:rPr>
        <w:t>，判断存货是否存在滞销的风险以及存货跌价准备计提的充分性</w:t>
      </w:r>
      <w:r>
        <w:rPr>
          <w:rFonts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通过询问管理层、生产主管等人员，查阅行业资料，实地查看生产线等方式，了解发行人产品的种类、各类</w:t>
      </w:r>
      <w:r>
        <w:rPr>
          <w:rFonts w:hint="eastAsia" w:ascii="仿宋_GB2312" w:hAnsi="宋体" w:eastAsia="仿宋_GB2312"/>
          <w:color w:val="000000" w:themeColor="text1"/>
          <w:sz w:val="32"/>
          <w:szCs w:val="32"/>
          <w14:textFill>
            <w14:solidFill>
              <w14:schemeClr w14:val="tx1"/>
            </w14:solidFill>
          </w14:textFill>
        </w:rPr>
        <w:t>主要</w:t>
      </w:r>
      <w:r>
        <w:rPr>
          <w:rFonts w:ascii="仿宋_GB2312" w:hAnsi="宋体" w:eastAsia="仿宋_GB2312"/>
          <w:color w:val="000000" w:themeColor="text1"/>
          <w:sz w:val="32"/>
          <w:szCs w:val="32"/>
          <w14:textFill>
            <w14:solidFill>
              <w14:schemeClr w14:val="tx1"/>
            </w14:solidFill>
          </w14:textFill>
        </w:rPr>
        <w:t>产品的生产流程、生产周期、产能</w:t>
      </w:r>
      <w:r>
        <w:rPr>
          <w:rFonts w:hint="eastAsia" w:ascii="仿宋_GB2312" w:hAnsi="宋体" w:eastAsia="仿宋_GB2312"/>
          <w:color w:val="000000" w:themeColor="text1"/>
          <w:sz w:val="32"/>
          <w:szCs w:val="32"/>
          <w14:textFill>
            <w14:solidFill>
              <w14:schemeClr w14:val="tx1"/>
            </w14:solidFill>
          </w14:textFill>
        </w:rPr>
        <w:t>和</w:t>
      </w:r>
      <w:r>
        <w:rPr>
          <w:rFonts w:ascii="仿宋_GB2312" w:hAnsi="宋体" w:eastAsia="仿宋_GB2312"/>
          <w:color w:val="000000" w:themeColor="text1"/>
          <w:sz w:val="32"/>
          <w:szCs w:val="32"/>
          <w14:textFill>
            <w14:solidFill>
              <w14:schemeClr w14:val="tx1"/>
            </w14:solidFill>
          </w14:textFill>
        </w:rPr>
        <w:t>产量、主要原料投入产出比等信息</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通过查阅制度文件、现场实地考察等方法，调查发行人的存货管理制度及其实施情况，</w:t>
      </w:r>
      <w:r>
        <w:rPr>
          <w:rFonts w:hint="eastAsia" w:ascii="仿宋_GB2312" w:hAnsi="宋体" w:eastAsia="仿宋_GB2312"/>
          <w:color w:val="000000" w:themeColor="text1"/>
          <w:sz w:val="32"/>
          <w:szCs w:val="32"/>
          <w14:textFill>
            <w14:solidFill>
              <w14:schemeClr w14:val="tx1"/>
            </w14:solidFill>
          </w14:textFill>
        </w:rPr>
        <w:t>如</w:t>
      </w:r>
      <w:r>
        <w:rPr>
          <w:rFonts w:ascii="仿宋_GB2312" w:hAnsi="宋体" w:eastAsia="仿宋_GB2312"/>
          <w:color w:val="000000" w:themeColor="text1"/>
          <w:sz w:val="32"/>
          <w:szCs w:val="32"/>
          <w14:textFill>
            <w14:solidFill>
              <w14:schemeClr w14:val="tx1"/>
            </w14:solidFill>
          </w14:textFill>
        </w:rPr>
        <w:t>存货入库前是否经过验收、存货的保管是否安全以及是否建立存货短缺、毁损的处罚或追索等制度。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询问管理层、生产计划人员等，了解发行人的生产模式，分析生产模式是否符合发行人的产品特点、行业特点及下游客户的使用习惯。</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了解各类存货的发出计价方式，分析计价方式是否与发行人的生产</w:t>
      </w:r>
      <w:r>
        <w:rPr>
          <w:rFonts w:hint="eastAsia" w:ascii="仿宋_GB2312" w:hAnsi="宋体" w:eastAsia="仿宋_GB2312"/>
          <w:color w:val="000000" w:themeColor="text1"/>
          <w:sz w:val="32"/>
          <w:szCs w:val="32"/>
          <w14:textFill>
            <w14:solidFill>
              <w14:schemeClr w14:val="tx1"/>
            </w14:solidFill>
          </w14:textFill>
        </w:rPr>
        <w:t>流程</w:t>
      </w:r>
      <w:r>
        <w:rPr>
          <w:rFonts w:ascii="仿宋_GB2312" w:hAnsi="宋体" w:eastAsia="仿宋_GB2312"/>
          <w:color w:val="000000" w:themeColor="text1"/>
          <w:sz w:val="32"/>
          <w:szCs w:val="32"/>
          <w14:textFill>
            <w14:solidFill>
              <w14:schemeClr w14:val="tx1"/>
            </w14:solidFill>
          </w14:textFill>
        </w:rPr>
        <w:t>及产品特点匹配，</w:t>
      </w:r>
      <w:r>
        <w:rPr>
          <w:rFonts w:hint="eastAsia" w:ascii="仿宋_GB2312" w:hAnsi="宋体" w:eastAsia="仿宋_GB2312"/>
          <w:color w:val="000000" w:themeColor="text1"/>
          <w:sz w:val="32"/>
          <w:szCs w:val="32"/>
          <w14:textFill>
            <w14:solidFill>
              <w14:schemeClr w14:val="tx1"/>
            </w14:solidFill>
          </w14:textFill>
        </w:rPr>
        <w:t>如存在异常的</w:t>
      </w:r>
      <w:r>
        <w:rPr>
          <w:rFonts w:ascii="仿宋_GB2312" w:hAnsi="宋体" w:eastAsia="仿宋_GB2312"/>
          <w:color w:val="000000" w:themeColor="text1"/>
          <w:sz w:val="32"/>
          <w:szCs w:val="32"/>
          <w14:textFill>
            <w14:solidFill>
              <w14:schemeClr w14:val="tx1"/>
            </w14:solidFill>
          </w14:textFill>
        </w:rPr>
        <w:t>，测算发出存货成本的计量方法是否合理，确认存货计价的准确性。</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themeColor="text1"/>
          <w:sz w:val="32"/>
          <w:szCs w:val="32"/>
          <w14:textFill>
            <w14:solidFill>
              <w14:schemeClr w14:val="tx1"/>
            </w14:solidFill>
          </w14:textFill>
        </w:rPr>
        <w:t>存在大额无实物形态存货的，了解该存货形成的原因，结合成本构成、成本归集方法、抽样测试等，核查账面成本记录的准确性、真实性。必要时，</w:t>
      </w:r>
      <w:r>
        <w:rPr>
          <w:rFonts w:hint="eastAsia" w:ascii="仿宋_GB2312" w:hAnsi="宋体" w:eastAsia="仿宋_GB2312"/>
          <w:color w:val="000000"/>
          <w:sz w:val="32"/>
          <w:szCs w:val="32"/>
        </w:rPr>
        <w:t>在确保外部专家胜任能力和独立性的基础上，可以合理利用外部专家对该类存货的功能、价值等进行判断或评估，并对外部专家意见履行审慎关注和必要复核程序。</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2、存货的</w:t>
      </w:r>
      <w:r>
        <w:rPr>
          <w:rFonts w:hint="eastAsia" w:ascii="仿宋_GB2312" w:hAnsi="宋体" w:eastAsia="仿宋_GB2312"/>
          <w:color w:val="000000" w:themeColor="text1"/>
          <w:sz w:val="32"/>
          <w:szCs w:val="32"/>
          <w14:textFill>
            <w14:solidFill>
              <w14:schemeClr w14:val="tx1"/>
            </w14:solidFill>
          </w14:textFill>
        </w:rPr>
        <w:t>抽盘</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盘指保荐</w:t>
      </w:r>
      <w:r>
        <w:rPr>
          <w:rFonts w:hint="eastAsia" w:ascii="仿宋_GB2312" w:hAnsi="宋体" w:eastAsia="仿宋_GB2312"/>
          <w:color w:val="000000" w:themeColor="text1"/>
          <w:sz w:val="32"/>
          <w:szCs w:val="32"/>
          <w14:textFill>
            <w14:solidFill>
              <w14:schemeClr w14:val="tx1"/>
            </w14:solidFill>
          </w14:textFill>
        </w:rPr>
        <w:t>人</w:t>
      </w:r>
      <w:r>
        <w:rPr>
          <w:rFonts w:ascii="仿宋_GB2312" w:hAnsi="宋体" w:eastAsia="仿宋_GB2312"/>
          <w:color w:val="000000" w:themeColor="text1"/>
          <w:sz w:val="32"/>
          <w:szCs w:val="32"/>
          <w14:textFill>
            <w14:solidFill>
              <w14:schemeClr w14:val="tx1"/>
            </w14:solidFill>
          </w14:textFill>
        </w:rPr>
        <w:t>观察发行人的存货盘点，并对已盘点存货抽取一定的样本进行适当检查的程序</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也包括保荐</w:t>
      </w:r>
      <w:r>
        <w:rPr>
          <w:rFonts w:hint="eastAsia" w:ascii="仿宋_GB2312" w:hAnsi="宋体" w:eastAsia="仿宋_GB2312"/>
          <w:color w:val="000000" w:themeColor="text1"/>
          <w:sz w:val="32"/>
          <w:szCs w:val="32"/>
          <w14:textFill>
            <w14:solidFill>
              <w14:schemeClr w14:val="tx1"/>
            </w14:solidFill>
          </w14:textFill>
        </w:rPr>
        <w:t>人</w:t>
      </w:r>
      <w:r>
        <w:rPr>
          <w:rFonts w:ascii="仿宋_GB2312" w:hAnsi="宋体" w:eastAsia="仿宋_GB2312"/>
          <w:color w:val="000000" w:themeColor="text1"/>
          <w:sz w:val="32"/>
          <w:szCs w:val="32"/>
          <w14:textFill>
            <w14:solidFill>
              <w14:schemeClr w14:val="tx1"/>
            </w14:solidFill>
          </w14:textFill>
        </w:rPr>
        <w:t>在非</w:t>
      </w:r>
      <w:r>
        <w:rPr>
          <w:rFonts w:hint="eastAsia" w:ascii="仿宋_GB2312" w:hAnsi="宋体" w:eastAsia="仿宋_GB2312"/>
          <w:color w:val="000000" w:themeColor="text1"/>
          <w:sz w:val="32"/>
          <w:szCs w:val="32"/>
          <w14:textFill>
            <w14:solidFill>
              <w14:schemeClr w14:val="tx1"/>
            </w14:solidFill>
          </w14:textFill>
        </w:rPr>
        <w:t>存货</w:t>
      </w:r>
      <w:r>
        <w:rPr>
          <w:rFonts w:ascii="仿宋_GB2312" w:hAnsi="宋体" w:eastAsia="仿宋_GB2312"/>
          <w:color w:val="000000" w:themeColor="text1"/>
          <w:sz w:val="32"/>
          <w:szCs w:val="32"/>
          <w14:textFill>
            <w14:solidFill>
              <w14:schemeClr w14:val="tx1"/>
            </w14:solidFill>
          </w14:textFill>
        </w:rPr>
        <w:t>盘点日，</w:t>
      </w:r>
      <w:r>
        <w:rPr>
          <w:rFonts w:hint="eastAsia" w:ascii="仿宋_GB2312" w:hAnsi="宋体" w:eastAsia="仿宋_GB2312"/>
          <w:color w:val="000000" w:themeColor="text1"/>
          <w:sz w:val="32"/>
          <w:szCs w:val="32"/>
          <w14:textFill>
            <w14:solidFill>
              <w14:schemeClr w14:val="tx1"/>
            </w14:solidFill>
          </w14:textFill>
        </w:rPr>
        <w:t>对</w:t>
      </w:r>
      <w:r>
        <w:rPr>
          <w:rFonts w:ascii="仿宋_GB2312" w:hAnsi="宋体" w:eastAsia="仿宋_GB2312"/>
          <w:color w:val="000000" w:themeColor="text1"/>
          <w:sz w:val="32"/>
          <w:szCs w:val="32"/>
          <w14:textFill>
            <w14:solidFill>
              <w14:schemeClr w14:val="tx1"/>
            </w14:solidFill>
          </w14:textFill>
        </w:rPr>
        <w:t>存货抽取一定样本进行适当检查的程序。</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询问管理层或会计师，了解发行人的存货盘点制度，查阅发行人报告期历史期间的存货盘点资料，检查存货盘点是否存在重大差异，重大差异的原因和处理方式，核查发行人存货盘点内控措施的有效性。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在合理信赖会计师监盘工作的基础上，结合原材料及产品特性、生产需求、存货库存时间长短，实地抽盘大额存货，确认存货计价的准确性，核查是否存在大量积压或冷背情况。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w:t>
      </w:r>
      <w:r>
        <w:rPr>
          <w:rFonts w:ascii="仿宋_GB2312" w:hAnsi="宋体" w:eastAsia="仿宋_GB2312"/>
          <w:color w:val="000000" w:themeColor="text1"/>
          <w:sz w:val="32"/>
          <w:szCs w:val="32"/>
          <w14:textFill>
            <w14:solidFill>
              <w14:schemeClr w14:val="tx1"/>
            </w14:solidFill>
          </w14:textFill>
        </w:rPr>
        <w:t>确定</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盘的范围，并编制存</w:t>
      </w:r>
      <w:r>
        <w:rPr>
          <w:rFonts w:hint="eastAsia" w:ascii="仿宋_GB2312" w:hAnsi="宋体" w:eastAsia="仿宋_GB2312"/>
          <w:color w:val="000000" w:themeColor="text1"/>
          <w:sz w:val="32"/>
          <w:szCs w:val="32"/>
          <w14:textFill>
            <w14:solidFill>
              <w14:schemeClr w14:val="tx1"/>
            </w14:solidFill>
          </w14:textFill>
        </w:rPr>
        <w:t>货抽</w:t>
      </w:r>
      <w:r>
        <w:rPr>
          <w:rFonts w:ascii="仿宋_GB2312" w:hAnsi="宋体" w:eastAsia="仿宋_GB2312"/>
          <w:color w:val="000000" w:themeColor="text1"/>
          <w:sz w:val="32"/>
          <w:szCs w:val="32"/>
          <w14:textFill>
            <w14:solidFill>
              <w14:schemeClr w14:val="tx1"/>
            </w14:solidFill>
          </w14:textFill>
        </w:rPr>
        <w:t>盘计划，计划存货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盘的相关事项包括</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1）与存货相关的内部控制情况</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盘的时间、人员安排</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3）发行人是否采用永续盘存制</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4）存货的仓库分布情况，包括不同存放地点的存货的重要性和风险情况，以选择恰当的</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盘地点</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5）特殊存货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盘是否需要专家的协助</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询问管理层、营销人员、生产人员、仓库人员等，查阅固定资产清单、租赁合同等资料，查看出、入库单中记录的仓库名称等方式，核查发行人提供的仓库清单的完整性。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盘原则上应安排在资产负债表日，若有特殊原因使得存货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盘日并非资产负债表日</w:t>
      </w:r>
      <w:r>
        <w:rPr>
          <w:rFonts w:hint="eastAsia" w:ascii="仿宋_GB2312" w:hAnsi="宋体" w:eastAsia="仿宋_GB2312"/>
          <w:color w:val="000000" w:themeColor="text1"/>
          <w:sz w:val="32"/>
          <w:szCs w:val="32"/>
          <w14:textFill>
            <w14:solidFill>
              <w14:schemeClr w14:val="tx1"/>
            </w14:solidFill>
          </w14:textFill>
        </w:rPr>
        <w:t>的</w:t>
      </w:r>
      <w:r>
        <w:rPr>
          <w:rFonts w:ascii="仿宋_GB2312" w:hAnsi="宋体" w:eastAsia="仿宋_GB2312"/>
          <w:color w:val="000000" w:themeColor="text1"/>
          <w:sz w:val="32"/>
          <w:szCs w:val="32"/>
          <w14:textFill>
            <w14:solidFill>
              <w14:schemeClr w14:val="tx1"/>
            </w14:solidFill>
          </w14:textFill>
        </w:rPr>
        <w:t>，则应执行“前推”或“后推”程序，并确保存货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盘日与资产负债表日期间执行的实质性核查程序充分、适当。</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存货盘点日，</w:t>
      </w:r>
      <w:r>
        <w:rPr>
          <w:rFonts w:hint="eastAsia" w:ascii="仿宋_GB2312" w:hAnsi="宋体" w:eastAsia="仿宋_GB2312"/>
          <w:color w:val="000000" w:themeColor="text1"/>
          <w:sz w:val="32"/>
          <w:szCs w:val="32"/>
          <w14:textFill>
            <w14:solidFill>
              <w14:schemeClr w14:val="tx1"/>
            </w14:solidFill>
          </w14:textFill>
        </w:rPr>
        <w:t>保荐人可</w:t>
      </w:r>
      <w:r>
        <w:rPr>
          <w:rFonts w:ascii="仿宋_GB2312" w:hAnsi="宋体" w:eastAsia="仿宋_GB2312"/>
          <w:color w:val="000000" w:themeColor="text1"/>
          <w:sz w:val="32"/>
          <w:szCs w:val="32"/>
          <w14:textFill>
            <w14:solidFill>
              <w14:schemeClr w14:val="tx1"/>
            </w14:solidFill>
          </w14:textFill>
        </w:rPr>
        <w:t>跟随发行人安排的存货盘点人员进行</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盘，并注意观察发行人事先制定的存货盘点计划是否得到了贯彻执行，盘点人员是否准确无误地记录了被盘点存货的数量和状况，并已经恰当地区分所有毁损、陈旧、过时及残次的存货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核实是否已执行相关程序以避免重复盘点或遗漏任何存货并解决任何的盘点差异。</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发行人盘点过程中，</w:t>
      </w:r>
      <w:r>
        <w:rPr>
          <w:rFonts w:hint="eastAsia" w:ascii="仿宋_GB2312" w:hAnsi="宋体" w:eastAsia="仿宋_GB2312"/>
          <w:color w:val="000000" w:themeColor="text1"/>
          <w:sz w:val="32"/>
          <w:szCs w:val="32"/>
          <w14:textFill>
            <w14:solidFill>
              <w14:schemeClr w14:val="tx1"/>
            </w14:solidFill>
          </w14:textFill>
        </w:rPr>
        <w:t>观察</w:t>
      </w:r>
      <w:r>
        <w:rPr>
          <w:rFonts w:ascii="仿宋_GB2312" w:hAnsi="宋体" w:eastAsia="仿宋_GB2312"/>
          <w:color w:val="000000" w:themeColor="text1"/>
          <w:sz w:val="32"/>
          <w:szCs w:val="32"/>
          <w14:textFill>
            <w14:solidFill>
              <w14:schemeClr w14:val="tx1"/>
            </w14:solidFill>
          </w14:textFill>
        </w:rPr>
        <w:t>存货的流转</w:t>
      </w:r>
      <w:r>
        <w:rPr>
          <w:rFonts w:hint="eastAsia" w:ascii="仿宋_GB2312" w:hAnsi="宋体" w:eastAsia="仿宋_GB2312"/>
          <w:color w:val="000000" w:themeColor="text1"/>
          <w:sz w:val="32"/>
          <w:szCs w:val="32"/>
          <w14:textFill>
            <w14:solidFill>
              <w14:schemeClr w14:val="tx1"/>
            </w14:solidFill>
          </w14:textFill>
        </w:rPr>
        <w:t>是否</w:t>
      </w:r>
      <w:r>
        <w:rPr>
          <w:rFonts w:ascii="仿宋_GB2312" w:hAnsi="宋体" w:eastAsia="仿宋_GB2312"/>
          <w:color w:val="000000" w:themeColor="text1"/>
          <w:sz w:val="32"/>
          <w:szCs w:val="32"/>
          <w14:textFill>
            <w14:solidFill>
              <w14:schemeClr w14:val="tx1"/>
            </w14:solidFill>
          </w14:textFill>
        </w:rPr>
        <w:t>已得到适当控制，盘点期间发行人正在盘点的存货应避免发生移动，以充分保证存货移动带来的存货盘点、</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盘风险。</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观察不同地点、分支机构、部门或合并范围内子公司之间转移的存货是否已被适当记录，以避免重复盘点或在盘点时遗漏任何项目。对于并非属于发行人的项目（如，委托代销存货），确定其已被识别且排除在发行人自有存货的盘点之外。如果该等项目是重大的，</w:t>
      </w:r>
      <w:r>
        <w:rPr>
          <w:rFonts w:hint="eastAsia" w:ascii="仿宋_GB2312" w:hAnsi="宋体" w:eastAsia="仿宋_GB2312"/>
          <w:color w:val="000000" w:themeColor="text1"/>
          <w:sz w:val="32"/>
          <w:szCs w:val="32"/>
          <w14:textFill>
            <w14:solidFill>
              <w14:schemeClr w14:val="tx1"/>
            </w14:solidFill>
          </w14:textFill>
        </w:rPr>
        <w:t>可考虑</w:t>
      </w:r>
      <w:r>
        <w:rPr>
          <w:rFonts w:ascii="仿宋_GB2312" w:hAnsi="宋体" w:eastAsia="仿宋_GB2312"/>
          <w:color w:val="000000" w:themeColor="text1"/>
          <w:sz w:val="32"/>
          <w:szCs w:val="32"/>
          <w14:textFill>
            <w14:solidFill>
              <w14:schemeClr w14:val="tx1"/>
            </w14:solidFill>
          </w14:textFill>
        </w:rPr>
        <w:t>执行抽盘程序。</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对存货执行</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盘，考虑以下各项因素：</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1）高价值的项目</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2）其性质导致存在盘点困难的项目</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3）尚未完工的项目（如，在产品）</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4）同时进行高估（即，将根据发行人记录执行的抽盘与实地存货相比较）和低估（即，将根据实地存货执行的抽盘与发行人记录相比较）测试</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使用罐储存的或者堆积或成卷存放的存货，了解此类存货的计量方法，并采用适当的方法将其计算转换为账面记录的数量单位。如果存货的性质或状况不易被识别且存货价值重大的，则可能有必要利用专家的工作。同时，</w:t>
      </w:r>
      <w:r>
        <w:rPr>
          <w:rFonts w:hint="eastAsia" w:ascii="仿宋_GB2312" w:hAnsi="宋体" w:eastAsia="仿宋_GB2312"/>
          <w:color w:val="000000" w:themeColor="text1"/>
          <w:sz w:val="32"/>
          <w:szCs w:val="32"/>
          <w14:textFill>
            <w14:solidFill>
              <w14:schemeClr w14:val="tx1"/>
            </w14:solidFill>
          </w14:textFill>
        </w:rPr>
        <w:t>可考虑</w:t>
      </w:r>
      <w:r>
        <w:rPr>
          <w:rFonts w:ascii="仿宋_GB2312" w:hAnsi="宋体" w:eastAsia="仿宋_GB2312"/>
          <w:color w:val="000000" w:themeColor="text1"/>
          <w:sz w:val="32"/>
          <w:szCs w:val="32"/>
          <w14:textFill>
            <w14:solidFill>
              <w14:schemeClr w14:val="tx1"/>
            </w14:solidFill>
          </w14:textFill>
        </w:rPr>
        <w:t>将未开封包装物打开或将存货挪动位置以观察存货的实际状态，并留意是否存在白条抵库、销售人员外借等情况。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实地查看存放重大存货的所有区域以识别是否存在表明存货积压、</w:t>
      </w:r>
      <w:r>
        <w:rPr>
          <w:rFonts w:hint="eastAsia" w:ascii="仿宋_GB2312" w:hAnsi="宋体" w:eastAsia="仿宋_GB2312"/>
          <w:color w:val="000000" w:themeColor="text1"/>
          <w:sz w:val="32"/>
          <w:szCs w:val="32"/>
          <w14:textFill>
            <w14:solidFill>
              <w14:schemeClr w14:val="tx1"/>
            </w14:solidFill>
          </w14:textFill>
        </w:rPr>
        <w:t>冷背、</w:t>
      </w:r>
      <w:r>
        <w:rPr>
          <w:rFonts w:ascii="仿宋_GB2312" w:hAnsi="宋体" w:eastAsia="仿宋_GB2312"/>
          <w:color w:val="000000" w:themeColor="text1"/>
          <w:sz w:val="32"/>
          <w:szCs w:val="32"/>
          <w14:textFill>
            <w14:solidFill>
              <w14:schemeClr w14:val="tx1"/>
            </w14:solidFill>
          </w14:textFill>
        </w:rPr>
        <w:t>过剩或损毁的迹象（如，灰尘积聚、存货堆放在其他存货的后面或不易进入的地方）。询问负责存货日常处理的管理人员哪些存货被视为过时、积压、</w:t>
      </w:r>
      <w:r>
        <w:rPr>
          <w:rFonts w:hint="eastAsia" w:ascii="仿宋_GB2312" w:hAnsi="宋体" w:eastAsia="仿宋_GB2312"/>
          <w:color w:val="000000" w:themeColor="text1"/>
          <w:sz w:val="32"/>
          <w:szCs w:val="32"/>
          <w14:textFill>
            <w14:solidFill>
              <w14:schemeClr w14:val="tx1"/>
            </w14:solidFill>
          </w14:textFill>
        </w:rPr>
        <w:t>冷背、</w:t>
      </w:r>
      <w:r>
        <w:rPr>
          <w:rFonts w:ascii="仿宋_GB2312" w:hAnsi="宋体" w:eastAsia="仿宋_GB2312"/>
          <w:color w:val="000000" w:themeColor="text1"/>
          <w:sz w:val="32"/>
          <w:szCs w:val="32"/>
          <w14:textFill>
            <w14:solidFill>
              <w14:schemeClr w14:val="tx1"/>
            </w14:solidFill>
          </w14:textFill>
        </w:rPr>
        <w:t>损毁或过剩，就已终止的存货产品线及可能导致现有存货过时的新产品询问销售、生产和仓储部门的关键人员。</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过程中出现的误差（如盘盈、盘亏等）或者特殊（如残次品、白条抵库、销售人员外借）的情况，查找原因并应妥善保存好所有相关的原始证据。如出现该等异常的情况，可根据实际情况另抽取一定比例的存货进行抽盘或者复盘。</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盘完成后，</w:t>
      </w:r>
      <w:r>
        <w:rPr>
          <w:rFonts w:hint="eastAsia" w:ascii="仿宋_GB2312" w:hAnsi="宋体" w:eastAsia="仿宋_GB2312"/>
          <w:color w:val="000000" w:themeColor="text1"/>
          <w:sz w:val="32"/>
          <w:szCs w:val="32"/>
          <w14:textFill>
            <w14:solidFill>
              <w14:schemeClr w14:val="tx1"/>
            </w14:solidFill>
          </w14:textFill>
        </w:rPr>
        <w:t>可通过</w:t>
      </w:r>
      <w:r>
        <w:rPr>
          <w:rFonts w:ascii="仿宋_GB2312" w:hAnsi="宋体" w:eastAsia="仿宋_GB2312"/>
          <w:color w:val="000000" w:themeColor="text1"/>
          <w:sz w:val="32"/>
          <w:szCs w:val="32"/>
          <w14:textFill>
            <w14:solidFill>
              <w14:schemeClr w14:val="tx1"/>
            </w14:solidFill>
          </w14:textFill>
        </w:rPr>
        <w:t>获取发行人的存货盘点报告，分析盘点差异及其他异常情况的原因，检查盘点报告是否经过适当的复核。</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保荐</w:t>
      </w:r>
      <w:r>
        <w:rPr>
          <w:rFonts w:hint="eastAsia" w:ascii="仿宋_GB2312" w:hAnsi="宋体" w:eastAsia="仿宋_GB2312"/>
          <w:color w:val="000000" w:themeColor="text1"/>
          <w:sz w:val="32"/>
          <w:szCs w:val="32"/>
          <w14:textFill>
            <w14:solidFill>
              <w14:schemeClr w14:val="tx1"/>
            </w14:solidFill>
          </w14:textFill>
        </w:rPr>
        <w:t>人可</w:t>
      </w:r>
      <w:r>
        <w:rPr>
          <w:rFonts w:ascii="仿宋_GB2312" w:hAnsi="宋体" w:eastAsia="仿宋_GB2312"/>
          <w:color w:val="000000" w:themeColor="text1"/>
          <w:sz w:val="32"/>
          <w:szCs w:val="32"/>
          <w14:textFill>
            <w14:solidFill>
              <w14:schemeClr w14:val="tx1"/>
            </w14:solidFill>
          </w14:textFill>
        </w:rPr>
        <w:t>编制存货抽盘汇总表和</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盘总结报告，记录</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盘范围、时间人员、</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盘中重点关注的事项以及</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盘结果是否发现存货的数量和状况存在异常等。对于异常的存货状况进行特定分析，判断发行人的该等存货特征是否可能产生重大风险。</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如</w:t>
      </w:r>
      <w:r>
        <w:rPr>
          <w:rFonts w:hint="eastAsia" w:ascii="仿宋_GB2312" w:hAnsi="宋体" w:eastAsia="仿宋_GB2312"/>
          <w:color w:val="000000" w:themeColor="text1"/>
          <w:sz w:val="32"/>
          <w:szCs w:val="32"/>
          <w14:textFill>
            <w14:solidFill>
              <w14:schemeClr w14:val="tx1"/>
            </w14:solidFill>
          </w14:textFill>
        </w:rPr>
        <w:t>因不可抗力等因素使得存</w:t>
      </w:r>
      <w:r>
        <w:rPr>
          <w:rFonts w:ascii="仿宋_GB2312" w:hAnsi="宋体" w:eastAsia="仿宋_GB2312"/>
          <w:color w:val="000000" w:themeColor="text1"/>
          <w:sz w:val="32"/>
          <w:szCs w:val="32"/>
          <w14:textFill>
            <w14:solidFill>
              <w14:schemeClr w14:val="tx1"/>
            </w14:solidFill>
          </w14:textFill>
        </w:rPr>
        <w:t>货盘点现场实施存货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盘不可行，执行替代程序</w:t>
      </w:r>
      <w:r>
        <w:rPr>
          <w:rFonts w:hint="eastAsia" w:ascii="仿宋_GB2312" w:hAnsi="宋体" w:eastAsia="仿宋_GB2312"/>
          <w:color w:val="000000" w:themeColor="text1"/>
          <w:sz w:val="32"/>
          <w:szCs w:val="32"/>
          <w14:textFill>
            <w14:solidFill>
              <w14:schemeClr w14:val="tx1"/>
            </w14:solidFill>
          </w14:textFill>
        </w:rPr>
        <w:t>，并</w:t>
      </w:r>
      <w:r>
        <w:rPr>
          <w:rFonts w:ascii="仿宋_GB2312" w:hAnsi="宋体" w:eastAsia="仿宋_GB2312"/>
          <w:color w:val="000000" w:themeColor="text1"/>
          <w:sz w:val="32"/>
          <w:szCs w:val="32"/>
          <w14:textFill>
            <w14:solidFill>
              <w14:schemeClr w14:val="tx1"/>
            </w14:solidFill>
          </w14:textFill>
        </w:rPr>
        <w:t>评估替代程序的有效性,如，远程视频</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盘、检查盘点日后出售/使用盘点日之前已取得的特定存货的文件记录等。</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3、特殊事项</w:t>
      </w:r>
      <w:r>
        <w:rPr>
          <w:rFonts w:hint="eastAsia" w:ascii="仿宋_GB2312" w:hAnsi="宋体" w:eastAsia="仿宋_GB2312"/>
          <w:color w:val="000000" w:themeColor="text1"/>
          <w:sz w:val="32"/>
          <w:szCs w:val="32"/>
          <w14:textFill>
            <w14:solidFill>
              <w14:schemeClr w14:val="tx1"/>
            </w14:solidFill>
          </w14:textFill>
        </w:rPr>
        <w:t>抽盘</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对于存放于公共仓库的存货、委托代销存货、发出商品、置放于寄售仓、质押并存放于第三方仓库等各种形式存放于异地的存货，</w:t>
      </w:r>
      <w:r>
        <w:rPr>
          <w:rFonts w:hint="eastAsia" w:ascii="仿宋_GB2312" w:hAnsi="宋体" w:eastAsia="仿宋_GB2312"/>
          <w:color w:val="000000" w:themeColor="text1"/>
          <w:sz w:val="32"/>
          <w:szCs w:val="32"/>
          <w14:textFill>
            <w14:solidFill>
              <w14:schemeClr w14:val="tx1"/>
            </w14:solidFill>
          </w14:textFill>
        </w:rPr>
        <w:t>可通过</w:t>
      </w:r>
      <w:r>
        <w:rPr>
          <w:rFonts w:ascii="仿宋_GB2312" w:hAnsi="宋体" w:eastAsia="仿宋_GB2312"/>
          <w:color w:val="000000" w:themeColor="text1"/>
          <w:sz w:val="32"/>
          <w:szCs w:val="32"/>
          <w14:textFill>
            <w14:solidFill>
              <w14:schemeClr w14:val="tx1"/>
            </w14:solidFill>
          </w14:textFill>
        </w:rPr>
        <w:t>获取相应的存货权属文件，并通过现场走访、寄发异地存货函证的方式确认存货的数量、金额、权属及状态等信息。</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存货具有一定特殊性的，如其性质、价值、数量难以判断的，在确保外部专家胜任能力和独立性的基础上，可以合理采用外部专家意见，并对外部专家意见履行审慎关注和必要复核程序，并充分考虑存货价值的状态，例如黄金珠宝、煤炭、粮食仓库、水产等。</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w:t>
      </w:r>
      <w:r>
        <w:rPr>
          <w:rFonts w:ascii="仿宋_GB2312" w:hAnsi="宋体" w:eastAsia="仿宋_GB2312"/>
          <w:color w:val="000000" w:themeColor="text1"/>
          <w:sz w:val="32"/>
          <w:szCs w:val="32"/>
          <w14:textFill>
            <w14:solidFill>
              <w14:schemeClr w14:val="tx1"/>
            </w14:solidFill>
          </w14:textFill>
        </w:rPr>
        <w:t>应重点关注部分可能增加发行人存货风险的情况，并充分考虑利用专家及专用的设备及手段进行存货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盘，并在相应的工作底稿中充分记录</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1）对制造过程漫长的企业（如飞机制造和酒类产品酿造企业）应当重点关注递延成本、预期发生成本以及未来市场波动可能对当期损益的影响等事项</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2）与时装相关的服装行业</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由于服装产品的消费者对服装风格或颜色的偏好容易发生变化，因此，存货是否过时是重要的关注事项</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3）鲜活、易腐商品存货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因为物质特性和保质期短暂，此类存货变质的风险很高</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4）具有高科技含量的存货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由于技术进步，此类存货易于过时</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5）单位价值高昂、容易被盗窃的存货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例如珠宝存货</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6）存货体积、质量及形态较大，无法通过直接盘点的方式确认</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如钢材、粮仓中的粮食等</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7）特殊材质，需要借助专家才能判断是否确为存货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如化工企业的原材料、沼气类原料等</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8）确定存货数量的难易程度</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若发行人对存货的实际数量进行估计，如估计一堆煤</w:t>
      </w:r>
      <w:r>
        <w:rPr>
          <w:rFonts w:hint="eastAsia" w:ascii="仿宋_GB2312" w:hAnsi="宋体" w:eastAsia="仿宋_GB2312"/>
          <w:color w:val="000000" w:themeColor="text1"/>
          <w:sz w:val="32"/>
          <w:szCs w:val="32"/>
          <w14:textFill>
            <w14:solidFill>
              <w14:schemeClr w14:val="tx1"/>
            </w14:solidFill>
          </w14:textFill>
        </w:rPr>
        <w:t>、矿石</w:t>
      </w:r>
      <w:r>
        <w:rPr>
          <w:rFonts w:ascii="仿宋_GB2312" w:hAnsi="宋体" w:eastAsia="仿宋_GB2312"/>
          <w:color w:val="000000" w:themeColor="text1"/>
          <w:sz w:val="32"/>
          <w:szCs w:val="32"/>
          <w14:textFill>
            <w14:solidFill>
              <w14:schemeClr w14:val="tx1"/>
            </w14:solidFill>
          </w14:textFill>
        </w:rPr>
        <w:t>的数量，应当评价所采用的估计方法是否合理</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对于在产品存货金额较大的发行人，了解发行人的盘点程序，如果有关在产品的完工程度未明确列出，考虑采用其他有助于确定完工程度的措施，如获取零部件明细清单、标准成本表以及作业成本表，与工厂的有关人员进行讨论等，并可以根据存货生产过程的复杂程度考虑利用专家的工作。</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存货</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盘已结束又发现</w:t>
      </w:r>
      <w:r>
        <w:rPr>
          <w:rFonts w:hint="eastAsia" w:ascii="仿宋_GB2312" w:hAnsi="宋体" w:eastAsia="仿宋_GB2312"/>
          <w:color w:val="000000" w:themeColor="text1"/>
          <w:sz w:val="32"/>
          <w:szCs w:val="32"/>
          <w14:textFill>
            <w14:solidFill>
              <w14:schemeClr w14:val="tx1"/>
            </w14:solidFill>
          </w14:textFill>
        </w:rPr>
        <w:t>重大</w:t>
      </w:r>
      <w:r>
        <w:rPr>
          <w:rFonts w:ascii="仿宋_GB2312" w:hAnsi="宋体" w:eastAsia="仿宋_GB2312"/>
          <w:color w:val="000000" w:themeColor="text1"/>
          <w:sz w:val="32"/>
          <w:szCs w:val="32"/>
          <w14:textFill>
            <w14:solidFill>
              <w14:schemeClr w14:val="tx1"/>
            </w14:solidFill>
          </w14:textFill>
        </w:rPr>
        <w:t>问题</w:t>
      </w:r>
      <w:r>
        <w:rPr>
          <w:rFonts w:hint="eastAsia" w:ascii="仿宋_GB2312" w:hAnsi="宋体" w:eastAsia="仿宋_GB2312"/>
          <w:color w:val="000000" w:themeColor="text1"/>
          <w:sz w:val="32"/>
          <w:szCs w:val="32"/>
          <w14:textFill>
            <w14:solidFill>
              <w14:schemeClr w14:val="tx1"/>
            </w14:solidFill>
          </w14:textFill>
        </w:rPr>
        <w:t>或异常事项</w:t>
      </w:r>
      <w:r>
        <w:rPr>
          <w:rFonts w:ascii="仿宋_GB2312" w:hAnsi="宋体" w:eastAsia="仿宋_GB2312"/>
          <w:color w:val="000000" w:themeColor="text1"/>
          <w:sz w:val="32"/>
          <w:szCs w:val="32"/>
          <w14:textFill>
            <w14:solidFill>
              <w14:schemeClr w14:val="tx1"/>
            </w14:solidFill>
          </w14:textFill>
        </w:rPr>
        <w:t>的，</w:t>
      </w:r>
      <w:r>
        <w:rPr>
          <w:rFonts w:hint="eastAsia" w:ascii="仿宋_GB2312" w:hAnsi="宋体" w:eastAsia="仿宋_GB2312"/>
          <w:color w:val="000000" w:themeColor="text1"/>
          <w:sz w:val="32"/>
          <w:szCs w:val="32"/>
          <w14:textFill>
            <w14:solidFill>
              <w14:schemeClr w14:val="tx1"/>
            </w14:solidFill>
          </w14:textFill>
        </w:rPr>
        <w:t>保荐人可</w:t>
      </w:r>
      <w:r>
        <w:rPr>
          <w:rFonts w:ascii="仿宋_GB2312" w:hAnsi="宋体" w:eastAsia="仿宋_GB2312"/>
          <w:color w:val="000000" w:themeColor="text1"/>
          <w:sz w:val="32"/>
          <w:szCs w:val="32"/>
          <w14:textFill>
            <w14:solidFill>
              <w14:schemeClr w14:val="tx1"/>
            </w14:solidFill>
          </w14:textFill>
        </w:rPr>
        <w:t>结合问题实质判断存货风险，进行突击盘点，重点</w:t>
      </w:r>
      <w:r>
        <w:rPr>
          <w:rFonts w:hint="eastAsia" w:ascii="仿宋_GB2312" w:hAnsi="宋体" w:eastAsia="仿宋_GB2312"/>
          <w:color w:val="000000" w:themeColor="text1"/>
          <w:sz w:val="32"/>
          <w:szCs w:val="32"/>
          <w14:textFill>
            <w14:solidFill>
              <w14:schemeClr w14:val="tx1"/>
            </w14:solidFill>
          </w14:textFill>
        </w:rPr>
        <w:t>抽</w:t>
      </w:r>
      <w:r>
        <w:rPr>
          <w:rFonts w:ascii="仿宋_GB2312" w:hAnsi="宋体" w:eastAsia="仿宋_GB2312"/>
          <w:color w:val="000000" w:themeColor="text1"/>
          <w:sz w:val="32"/>
          <w:szCs w:val="32"/>
          <w14:textFill>
            <w14:solidFill>
              <w14:schemeClr w14:val="tx1"/>
            </w14:solidFill>
          </w14:textFill>
        </w:rPr>
        <w:t>盘问题部分存货，并通过扩大样本量、增加不可预见性等方式核实存货的情况。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4、存货跌价准备</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结合对存货抽盘情况、存货库龄分布、在手订单或合同情况、</w:t>
      </w:r>
      <w:r>
        <w:rPr>
          <w:rFonts w:ascii="仿宋_GB2312" w:hAnsi="宋体" w:eastAsia="仿宋_GB2312"/>
          <w:color w:val="000000" w:themeColor="text1"/>
          <w:sz w:val="32"/>
          <w:szCs w:val="32"/>
          <w14:textFill>
            <w14:solidFill>
              <w14:schemeClr w14:val="tx1"/>
            </w14:solidFill>
          </w14:textFill>
        </w:rPr>
        <w:t>存货</w:t>
      </w:r>
      <w:r>
        <w:rPr>
          <w:rFonts w:hint="eastAsia" w:ascii="仿宋_GB2312" w:hAnsi="宋体" w:eastAsia="仿宋_GB2312"/>
          <w:color w:val="000000" w:themeColor="text1"/>
          <w:sz w:val="32"/>
          <w:szCs w:val="32"/>
          <w14:textFill>
            <w14:solidFill>
              <w14:schemeClr w14:val="tx1"/>
            </w14:solidFill>
          </w14:textFill>
        </w:rPr>
        <w:t>自身</w:t>
      </w:r>
      <w:r>
        <w:rPr>
          <w:rFonts w:ascii="仿宋_GB2312" w:hAnsi="宋体" w:eastAsia="仿宋_GB2312"/>
          <w:color w:val="000000" w:themeColor="text1"/>
          <w:sz w:val="32"/>
          <w:szCs w:val="32"/>
          <w14:textFill>
            <w14:solidFill>
              <w14:schemeClr w14:val="tx1"/>
            </w14:solidFill>
          </w14:textFill>
        </w:rPr>
        <w:t>特点</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如保质期、生命周期</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等，</w:t>
      </w:r>
      <w:r>
        <w:rPr>
          <w:rFonts w:hint="eastAsia" w:ascii="仿宋_GB2312" w:hAnsi="宋体" w:eastAsia="仿宋_GB2312"/>
          <w:color w:val="000000" w:themeColor="text1"/>
          <w:sz w:val="32"/>
          <w:szCs w:val="32"/>
          <w14:textFill>
            <w14:solidFill>
              <w14:schemeClr w14:val="tx1"/>
            </w14:solidFill>
          </w14:textFill>
        </w:rPr>
        <w:t>并对比</w:t>
      </w:r>
      <w:r>
        <w:rPr>
          <w:rFonts w:ascii="仿宋_GB2312" w:hAnsi="宋体" w:eastAsia="仿宋_GB2312"/>
          <w:color w:val="000000" w:themeColor="text1"/>
          <w:sz w:val="32"/>
          <w:szCs w:val="32"/>
          <w14:textFill>
            <w14:solidFill>
              <w14:schemeClr w14:val="tx1"/>
            </w14:solidFill>
          </w14:textFill>
        </w:rPr>
        <w:t>同行业可比</w:t>
      </w:r>
      <w:r>
        <w:rPr>
          <w:rFonts w:hint="eastAsia" w:ascii="仿宋_GB2312" w:hAnsi="宋体" w:eastAsia="仿宋_GB2312"/>
          <w:color w:val="000000" w:themeColor="text1"/>
          <w:sz w:val="32"/>
          <w:szCs w:val="32"/>
          <w14:textFill>
            <w14:solidFill>
              <w14:schemeClr w14:val="tx1"/>
            </w14:solidFill>
          </w14:textFill>
        </w:rPr>
        <w:t>上市</w:t>
      </w:r>
      <w:r>
        <w:rPr>
          <w:rFonts w:ascii="仿宋_GB2312" w:hAnsi="宋体" w:eastAsia="仿宋_GB2312"/>
          <w:color w:val="000000" w:themeColor="text1"/>
          <w:sz w:val="32"/>
          <w:szCs w:val="32"/>
          <w14:textFill>
            <w14:solidFill>
              <w14:schemeClr w14:val="tx1"/>
            </w14:solidFill>
          </w14:textFill>
        </w:rPr>
        <w:t>公司的存货跌价准备</w:t>
      </w:r>
      <w:r>
        <w:rPr>
          <w:rFonts w:hint="eastAsia" w:ascii="仿宋_GB2312" w:hAnsi="宋体" w:eastAsia="仿宋_GB2312"/>
          <w:color w:val="000000" w:themeColor="text1"/>
          <w:sz w:val="32"/>
          <w:szCs w:val="32"/>
          <w14:textFill>
            <w14:solidFill>
              <w14:schemeClr w14:val="tx1"/>
            </w14:solidFill>
          </w14:textFill>
        </w:rPr>
        <w:t>政策和计提情况</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核查</w:t>
      </w:r>
      <w:r>
        <w:rPr>
          <w:rFonts w:ascii="仿宋_GB2312" w:hAnsi="宋体" w:eastAsia="仿宋_GB2312"/>
          <w:color w:val="000000" w:themeColor="text1"/>
          <w:sz w:val="32"/>
          <w:szCs w:val="32"/>
          <w14:textFill>
            <w14:solidFill>
              <w14:schemeClr w14:val="tx1"/>
            </w14:solidFill>
          </w14:textFill>
        </w:rPr>
        <w:t>存货跌价准备的计提方法是否合理、提取数额是否充分。</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在分析存货是否存在跌价时，考虑如下迹象：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1）该存货的市场价格持续下跌，并且在可预见的未来无回升的希望</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2）企业使用该项原材料生产的产品的成本大于产品的销售价格</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3）企业因产品更新换代，原有库存原材料已不适应新产品的需要，而该原材料的市场价格又低于其账面成本</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4）因企业所提供的商品或劳务过时或消费者偏好改变而使市场的需求发生变化，导致市场价格逐渐下跌</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5）其他足以证明该项存货实质上已经发生减值的情形</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outlineLvl w:val="2"/>
        <w:rPr>
          <w:rFonts w:ascii="仿宋_GB2312" w:hAnsi="宋体" w:eastAsia="仿宋_GB2312"/>
          <w:color w:val="000000"/>
          <w:sz w:val="32"/>
          <w:szCs w:val="32"/>
        </w:rPr>
      </w:pPr>
      <w:bookmarkStart w:id="99" w:name="_Toc105940633"/>
      <w:bookmarkStart w:id="100" w:name="_Toc76472372"/>
      <w:r>
        <w:rPr>
          <w:rFonts w:ascii="仿宋_GB2312" w:hAnsi="宋体" w:eastAsia="仿宋_GB2312"/>
          <w:color w:val="000000"/>
          <w:sz w:val="32"/>
          <w:szCs w:val="32"/>
        </w:rPr>
        <w:t xml:space="preserve">4.5.20  </w:t>
      </w:r>
      <w:r>
        <w:rPr>
          <w:rFonts w:hint="eastAsia" w:ascii="仿宋_GB2312" w:hAnsi="宋体" w:eastAsia="仿宋_GB2312"/>
          <w:color w:val="000000"/>
          <w:sz w:val="32"/>
          <w:szCs w:val="32"/>
        </w:rPr>
        <w:t>期间费用</w:t>
      </w:r>
      <w:bookmarkEnd w:id="99"/>
      <w:bookmarkEnd w:id="100"/>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1、销售费用和管理费用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1）对销售费用和管理费用进行分析，确定重点核查范围</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取得发行人报告期销售费用的明细表，</w:t>
      </w:r>
      <w:r>
        <w:rPr>
          <w:rFonts w:ascii="仿宋_GB2312" w:hAnsi="宋体" w:eastAsia="仿宋_GB2312"/>
          <w:color w:val="000000" w:themeColor="text1"/>
          <w:sz w:val="32"/>
          <w:szCs w:val="32"/>
          <w14:textFill>
            <w14:solidFill>
              <w14:schemeClr w14:val="tx1"/>
            </w14:solidFill>
          </w14:textFill>
        </w:rPr>
        <w:t>结合行业销售特点、销售操作流程、销售网络、回款要求、售后承诺（如无条件退货）、同行业可比公司费用水平等事项，分析发行人销售费用的完整性、合理性</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对照各年营业收入的环比分析，核对与营业收入直接相关的销售费用变动趋势是否与前者一致</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两者变动趋势存在重大不一致的，应进行重点核查。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取得管理费用明细表，分析是否存在异常的管理费用项目，如存在，</w:t>
      </w:r>
      <w:r>
        <w:rPr>
          <w:rFonts w:hint="eastAsia" w:ascii="仿宋_GB2312" w:hAnsi="宋体" w:eastAsia="仿宋_GB2312"/>
          <w:color w:val="000000" w:themeColor="text1"/>
          <w:sz w:val="32"/>
          <w:szCs w:val="32"/>
          <w14:textFill>
            <w14:solidFill>
              <w14:schemeClr w14:val="tx1"/>
            </w14:solidFill>
          </w14:textFill>
        </w:rPr>
        <w:t>可</w:t>
      </w:r>
      <w:r>
        <w:rPr>
          <w:rFonts w:ascii="仿宋_GB2312" w:hAnsi="宋体" w:eastAsia="仿宋_GB2312"/>
          <w:color w:val="000000" w:themeColor="text1"/>
          <w:sz w:val="32"/>
          <w:szCs w:val="32"/>
          <w14:textFill>
            <w14:solidFill>
              <w14:schemeClr w14:val="tx1"/>
            </w14:solidFill>
          </w14:textFill>
        </w:rPr>
        <w:t>通过核查相关凭证、对比历史数据、同行业可比公司比较等方式予以重点核查。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2）对人力成本的核查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了解发行人奖金、提成的核算制度，结合当年计提余额、次年一季度费用项目异常增长等情况，核查年终奖金、销售业务提成是否存在延后确认的情况。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各业务板块人员数量、工薪数额，对年均人力成本进行计算分析，与同行业或同地区市场人力成本水平进行比较，分析是否存在重大差距，是否存在压低员工薪金或体外支付员工薪酬，阶段性降低人工成本粉饰业绩的迹象；结合发行人的人员结构，核查发行人是否存在通过滥用劳务派遣规避正常劳务支出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核查发行人五险一金的规范情况，以及对发行人成本费用的影响程度，对于劳动密集型企业应尤为关注。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）对支付销售佣金返利的核查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医药保健品行业、经销商制企业，通常均存在较大的佣金返利，该等佣金返利有通过发票</w:t>
      </w:r>
      <w:r>
        <w:rPr>
          <w:rFonts w:ascii="仿宋_GB2312" w:hAnsi="宋体" w:eastAsia="仿宋_GB2312"/>
          <w:color w:val="000000" w:themeColor="text1"/>
          <w:sz w:val="32"/>
          <w:szCs w:val="32"/>
          <w14:textFill>
            <w14:solidFill>
              <w14:schemeClr w14:val="tx1"/>
            </w14:solidFill>
          </w14:textFill>
        </w:rPr>
        <w:t>/白条冲账、产品折扣、下游中间商间接承担等多种形式兑现</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结合发行人行业特点，了解发行人佣金返利内控制度、销售合同的佣金返利条款，结合其佣金返利政策测算相应数据并与报表数据进行核对，核查佣金记录的准确性、完整性。对于佣金返利采用产品折扣方式兑现的，由于存在业绩考核期，往往存在延后确认的情况，采取询问会计师、管理层等方式了解其影响金额及会计确认期间的合理性。对于发票</w:t>
      </w:r>
      <w:r>
        <w:rPr>
          <w:rFonts w:ascii="仿宋_GB2312" w:hAnsi="宋体" w:eastAsia="仿宋_GB2312"/>
          <w:color w:val="000000" w:themeColor="text1"/>
          <w:sz w:val="32"/>
          <w:szCs w:val="32"/>
          <w14:textFill>
            <w14:solidFill>
              <w14:schemeClr w14:val="tx1"/>
            </w14:solidFill>
          </w14:textFill>
        </w:rPr>
        <w:t>/白条冲账的</w:t>
      </w:r>
      <w:r>
        <w:rPr>
          <w:rFonts w:hint="eastAsia" w:ascii="仿宋_GB2312" w:hAnsi="宋体" w:eastAsia="仿宋_GB2312"/>
          <w:color w:val="000000" w:themeColor="text1"/>
          <w:sz w:val="32"/>
          <w:szCs w:val="32"/>
          <w14:textFill>
            <w14:solidFill>
              <w14:schemeClr w14:val="tx1"/>
            </w14:solidFill>
          </w14:textFill>
        </w:rPr>
        <w:t>，核查</w:t>
      </w:r>
      <w:r>
        <w:rPr>
          <w:rFonts w:ascii="仿宋_GB2312" w:hAnsi="宋体" w:eastAsia="仿宋_GB2312"/>
          <w:color w:val="000000" w:themeColor="text1"/>
          <w:sz w:val="32"/>
          <w:szCs w:val="32"/>
          <w14:textFill>
            <w14:solidFill>
              <w14:schemeClr w14:val="tx1"/>
            </w14:solidFill>
          </w14:textFill>
        </w:rPr>
        <w:t>对企业所得税费用税前扣除金额以及税务</w:t>
      </w:r>
      <w:r>
        <w:rPr>
          <w:rFonts w:hint="eastAsia" w:ascii="仿宋_GB2312" w:hAnsi="宋体" w:eastAsia="仿宋_GB2312"/>
          <w:color w:val="000000" w:themeColor="text1"/>
          <w:sz w:val="32"/>
          <w:szCs w:val="32"/>
          <w14:textFill>
            <w14:solidFill>
              <w14:schemeClr w14:val="tx1"/>
            </w14:solidFill>
          </w14:textFill>
        </w:rPr>
        <w:t>合规性的影响等。</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根据企业会计准则的要求，佣金返利等未在销售费用中列示的，保荐人也应根据参考上述要求进行相应的核查。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4）广告费、专利使用费/特许经营费等重要项目的核查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的广告费用明细表和重要广告合同，根据合同条款测算应列支的广告费用的完整性。查阅广告监播表、广告投放记录等，分析不同媒体间广告投放的价格及主要广告商的收费明细表，核查广告费用发生的真实性、公允性。关注是否存在与关联方联合进行广告宣传以及广告费用分摊的合理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取得发行人的专利使用费</w:t>
      </w:r>
      <w:r>
        <w:rPr>
          <w:rFonts w:ascii="仿宋_GB2312" w:hAnsi="宋体" w:eastAsia="仿宋_GB2312"/>
          <w:color w:val="000000" w:themeColor="text1"/>
          <w:sz w:val="32"/>
          <w:szCs w:val="32"/>
          <w14:textFill>
            <w14:solidFill>
              <w14:schemeClr w14:val="tx1"/>
            </w14:solidFill>
          </w14:textFill>
        </w:rPr>
        <w:t>/特许经营费明细表和相关重要合同，根据合同条款</w:t>
      </w:r>
      <w:r>
        <w:rPr>
          <w:rFonts w:hint="eastAsia" w:ascii="仿宋_GB2312" w:hAnsi="宋体" w:eastAsia="仿宋_GB2312"/>
          <w:color w:val="000000" w:themeColor="text1"/>
          <w:sz w:val="32"/>
          <w:szCs w:val="32"/>
          <w14:textFill>
            <w14:solidFill>
              <w14:schemeClr w14:val="tx1"/>
            </w14:solidFill>
          </w14:textFill>
        </w:rPr>
        <w:t>测算费用确认的完整性，同时应结合对公司产品技术情况，核查公司可能需要使用的他方专利以及是否已取得对方授权许可。</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）股份支付的核查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通过查阅发行人报告期内与股权变动相关的董事会、股东大会等会议文件，了解报告期内制定或实施的股权激励、期权激励计划等情况，询问管理层或会计师，了解股权激励、期权激励的公允价值确定的合理性，会计处理是否符合会计准则的规定。</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2、研发费用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取得研发费用明细表，结合研发项目整体预算、实施进度、费用构成等资料，分析是否存在异常的研发费用支出，如存在，</w:t>
      </w:r>
      <w:r>
        <w:rPr>
          <w:rFonts w:hint="eastAsia" w:ascii="仿宋_GB2312" w:hAnsi="宋体" w:eastAsia="仿宋_GB2312"/>
          <w:color w:val="000000" w:themeColor="text1"/>
          <w:sz w:val="32"/>
          <w:szCs w:val="32"/>
          <w14:textFill>
            <w14:solidFill>
              <w14:schemeClr w14:val="tx1"/>
            </w14:solidFill>
          </w14:textFill>
        </w:rPr>
        <w:t>可考虑</w:t>
      </w:r>
      <w:r>
        <w:rPr>
          <w:rFonts w:ascii="仿宋_GB2312" w:hAnsi="宋体" w:eastAsia="仿宋_GB2312"/>
          <w:color w:val="000000" w:themeColor="text1"/>
          <w:sz w:val="32"/>
          <w:szCs w:val="32"/>
          <w14:textFill>
            <w14:solidFill>
              <w14:schemeClr w14:val="tx1"/>
            </w14:solidFill>
          </w14:textFill>
        </w:rPr>
        <w:t>通过核查相关凭证、对比历史数据、同行业可比公司费用水平比较等方式予以重点核查。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了解研发人员的构成，</w:t>
      </w:r>
      <w:r>
        <w:rPr>
          <w:rFonts w:hint="eastAsia" w:ascii="仿宋_GB2312" w:hAnsi="宋体" w:eastAsia="仿宋_GB2312"/>
          <w:color w:val="000000" w:themeColor="text1"/>
          <w:sz w:val="32"/>
          <w:szCs w:val="32"/>
          <w14:textFill>
            <w14:solidFill>
              <w14:schemeClr w14:val="tx1"/>
            </w14:solidFill>
          </w14:textFill>
        </w:rPr>
        <w:t>获取研发人员工时记录表，结合发行人的研发及生产的特点，</w:t>
      </w:r>
      <w:r>
        <w:rPr>
          <w:rFonts w:ascii="仿宋_GB2312" w:hAnsi="宋体" w:eastAsia="仿宋_GB2312"/>
          <w:color w:val="000000" w:themeColor="text1"/>
          <w:sz w:val="32"/>
          <w:szCs w:val="32"/>
          <w14:textFill>
            <w14:solidFill>
              <w14:schemeClr w14:val="tx1"/>
            </w14:solidFill>
          </w14:textFill>
        </w:rPr>
        <w:t>核查</w:t>
      </w:r>
      <w:r>
        <w:rPr>
          <w:rFonts w:hint="eastAsia" w:ascii="仿宋_GB2312" w:hAnsi="宋体" w:eastAsia="仿宋_GB2312"/>
          <w:color w:val="000000" w:themeColor="text1"/>
          <w:sz w:val="32"/>
          <w:szCs w:val="32"/>
          <w14:textFill>
            <w14:solidFill>
              <w14:schemeClr w14:val="tx1"/>
            </w14:solidFill>
          </w14:textFill>
        </w:rPr>
        <w:t>是否存在</w:t>
      </w:r>
      <w:r>
        <w:rPr>
          <w:rFonts w:ascii="仿宋_GB2312" w:hAnsi="宋体" w:eastAsia="仿宋_GB2312"/>
          <w:color w:val="000000" w:themeColor="text1"/>
          <w:sz w:val="32"/>
          <w:szCs w:val="32"/>
          <w14:textFill>
            <w14:solidFill>
              <w14:schemeClr w14:val="tx1"/>
            </w14:solidFill>
          </w14:textFill>
        </w:rPr>
        <w:t>非研发人员</w:t>
      </w:r>
      <w:r>
        <w:rPr>
          <w:rFonts w:hint="eastAsia" w:ascii="仿宋_GB2312" w:hAnsi="宋体" w:eastAsia="仿宋_GB2312"/>
          <w:color w:val="000000" w:themeColor="text1"/>
          <w:sz w:val="32"/>
          <w:szCs w:val="32"/>
          <w14:textFill>
            <w14:solidFill>
              <w14:schemeClr w14:val="tx1"/>
            </w14:solidFill>
          </w14:textFill>
        </w:rPr>
        <w:t>的薪酬计入到研发费用的情形，研发人员是否存在从事生产活动的情形。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实地查看研发场所，向研发人员了解研发的流程、研发成果的载体及形成的知识产权情况。</w:t>
      </w:r>
      <w:r>
        <w:rPr>
          <w:rFonts w:ascii="仿宋_GB2312" w:hAnsi="宋体" w:eastAsia="仿宋_GB2312"/>
          <w:color w:val="000000" w:themeColor="text1"/>
          <w:sz w:val="32"/>
          <w:szCs w:val="32"/>
          <w14:textFill>
            <w14:solidFill>
              <w14:schemeClr w14:val="tx1"/>
            </w14:solidFill>
          </w14:textFill>
        </w:rPr>
        <w:t>了解研发活动是否形成研发样机，是否销售</w:t>
      </w:r>
      <w:r>
        <w:rPr>
          <w:rFonts w:hint="eastAsia" w:ascii="仿宋_GB2312" w:hAnsi="宋体" w:eastAsia="仿宋_GB2312"/>
          <w:color w:val="000000" w:themeColor="text1"/>
          <w:sz w:val="32"/>
          <w:szCs w:val="32"/>
          <w14:textFill>
            <w14:solidFill>
              <w14:schemeClr w14:val="tx1"/>
            </w14:solidFill>
          </w14:textFill>
        </w:rPr>
        <w:t>样机</w:t>
      </w:r>
      <w:r>
        <w:rPr>
          <w:rFonts w:ascii="仿宋_GB2312" w:hAnsi="宋体" w:eastAsia="仿宋_GB2312"/>
          <w:color w:val="000000" w:themeColor="text1"/>
          <w:sz w:val="32"/>
          <w:szCs w:val="32"/>
          <w14:textFill>
            <w14:solidFill>
              <w14:schemeClr w14:val="tx1"/>
            </w14:solidFill>
          </w14:textFill>
        </w:rPr>
        <w:t>，如有</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了解相关会计处理是否符合会计准则规定</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核查研发费用</w:t>
      </w:r>
      <w:r>
        <w:rPr>
          <w:rFonts w:hint="eastAsia" w:ascii="仿宋_GB2312" w:hAnsi="宋体" w:eastAsia="仿宋_GB2312"/>
          <w:color w:val="000000" w:themeColor="text1"/>
          <w:sz w:val="32"/>
          <w:szCs w:val="32"/>
          <w14:textFill>
            <w14:solidFill>
              <w14:schemeClr w14:val="tx1"/>
            </w14:solidFill>
          </w14:textFill>
        </w:rPr>
        <w:t>时</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可考虑核查</w:t>
      </w:r>
      <w:r>
        <w:rPr>
          <w:rFonts w:ascii="仿宋_GB2312" w:hAnsi="宋体" w:eastAsia="仿宋_GB2312"/>
          <w:color w:val="000000" w:themeColor="text1"/>
          <w:sz w:val="32"/>
          <w:szCs w:val="32"/>
          <w14:textFill>
            <w14:solidFill>
              <w14:schemeClr w14:val="tx1"/>
            </w14:solidFill>
          </w14:textFill>
        </w:rPr>
        <w:t>与纳税申报时加计扣除的研发费用、</w:t>
      </w:r>
      <w:r>
        <w:rPr>
          <w:rFonts w:hint="eastAsia" w:ascii="仿宋_GB2312" w:hAnsi="宋体" w:eastAsia="仿宋_GB2312"/>
          <w:color w:val="000000" w:themeColor="text1"/>
          <w:sz w:val="32"/>
          <w:szCs w:val="32"/>
          <w14:textFill>
            <w14:solidFill>
              <w14:schemeClr w14:val="tx1"/>
            </w14:solidFill>
          </w14:textFill>
        </w:rPr>
        <w:t>高新技术企业申请材料的研发费用</w:t>
      </w:r>
      <w:r>
        <w:rPr>
          <w:rFonts w:ascii="仿宋_GB2312" w:hAnsi="宋体" w:eastAsia="仿宋_GB2312"/>
          <w:color w:val="000000" w:themeColor="text1"/>
          <w:sz w:val="32"/>
          <w:szCs w:val="32"/>
          <w14:textFill>
            <w14:solidFill>
              <w14:schemeClr w14:val="tx1"/>
            </w14:solidFill>
          </w14:textFill>
        </w:rPr>
        <w:t>是否存在差异，以及</w:t>
      </w:r>
      <w:r>
        <w:rPr>
          <w:rFonts w:hint="eastAsia" w:ascii="仿宋_GB2312" w:hAnsi="宋体" w:eastAsia="仿宋_GB2312"/>
          <w:color w:val="000000" w:themeColor="text1"/>
          <w:sz w:val="32"/>
          <w:szCs w:val="32"/>
          <w14:textFill>
            <w14:solidFill>
              <w14:schemeClr w14:val="tx1"/>
            </w14:solidFill>
          </w14:textFill>
        </w:rPr>
        <w:t>了解</w:t>
      </w:r>
      <w:r>
        <w:rPr>
          <w:rFonts w:ascii="仿宋_GB2312" w:hAnsi="宋体" w:eastAsia="仿宋_GB2312"/>
          <w:color w:val="000000" w:themeColor="text1"/>
          <w:sz w:val="32"/>
          <w:szCs w:val="32"/>
          <w14:textFill>
            <w14:solidFill>
              <w14:schemeClr w14:val="tx1"/>
            </w14:solidFill>
          </w14:textFill>
        </w:rPr>
        <w:t>具体的差异原因。</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了解研发的项目预算、立项、结项等管理流程，核查研发费用归集、分配的内控措施及有效性，</w:t>
      </w:r>
      <w:r>
        <w:rPr>
          <w:rFonts w:ascii="仿宋_GB2312" w:hAnsi="宋体" w:eastAsia="仿宋_GB2312"/>
          <w:color w:val="000000" w:themeColor="text1"/>
          <w:sz w:val="32"/>
          <w:szCs w:val="32"/>
          <w14:textFill>
            <w14:solidFill>
              <w14:schemeClr w14:val="tx1"/>
            </w14:solidFill>
          </w14:textFill>
        </w:rPr>
        <w:t>分析研发费用的归集是否准确完整、研发费用是否与成本混淆，研发费用规模是否与发行人当期研发行为及工艺进展匹配</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如报告期内存在研发投入资本化的，询问管理层或会计师，</w:t>
      </w:r>
      <w:r>
        <w:rPr>
          <w:rFonts w:hint="eastAsia" w:ascii="仿宋_GB2312" w:hAnsi="宋体" w:eastAsia="仿宋_GB2312"/>
          <w:color w:val="000000" w:themeColor="text1"/>
          <w:sz w:val="32"/>
          <w:szCs w:val="32"/>
          <w14:textFill>
            <w14:solidFill>
              <w14:schemeClr w14:val="tx1"/>
            </w14:solidFill>
          </w14:textFill>
        </w:rPr>
        <w:t>核查</w:t>
      </w:r>
      <w:r>
        <w:rPr>
          <w:rFonts w:ascii="仿宋_GB2312" w:hAnsi="宋体" w:eastAsia="仿宋_GB2312"/>
          <w:color w:val="000000" w:themeColor="text1"/>
          <w:sz w:val="32"/>
          <w:szCs w:val="32"/>
          <w14:textFill>
            <w14:solidFill>
              <w14:schemeClr w14:val="tx1"/>
            </w14:solidFill>
          </w14:textFill>
        </w:rPr>
        <w:t>开发支出资本化的内控情况、会计处理以及同行业可比公司的处理方式，核查资本化的具体研发项目、依据、时间、金额以及是否符合会计准则的规定。</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结合发行人的研发特点、重要性水平、研发费用的明细构成等，针对性地抽取适当的样本，检查研发费用相关的领料单、工资单、员工花名册、以及固定资产折旧分摊明细表等业务和财务凭证，核查研发费用发生的真实性、准确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3、财务费用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取得财务费用明细表（含利息资本化部分），</w:t>
      </w:r>
      <w:r>
        <w:rPr>
          <w:rFonts w:ascii="仿宋_GB2312" w:hAnsi="宋体" w:eastAsia="仿宋_GB2312"/>
          <w:color w:val="000000" w:themeColor="text1"/>
          <w:sz w:val="32"/>
          <w:szCs w:val="32"/>
          <w14:textFill>
            <w14:solidFill>
              <w14:schemeClr w14:val="tx1"/>
            </w14:solidFill>
          </w14:textFill>
        </w:rPr>
        <w:t>对发行人存在较大银行借款或付息债务的，</w:t>
      </w:r>
      <w:r>
        <w:rPr>
          <w:rFonts w:hint="eastAsia" w:ascii="仿宋_GB2312" w:hAnsi="宋体" w:eastAsia="仿宋_GB2312"/>
          <w:color w:val="000000" w:themeColor="text1"/>
          <w:sz w:val="32"/>
          <w:szCs w:val="32"/>
          <w14:textFill>
            <w14:solidFill>
              <w14:schemeClr w14:val="tx1"/>
            </w14:solidFill>
          </w14:textFill>
        </w:rPr>
        <w:t>测算利息支出记录的准确性，结合对固定资产、在建工程、存货等科目的调查，确认大额利息资本化的合理性，是否符合会计准则的规定。</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关注控股股东、实际控制人或关联方占用资金的相关费用情况</w:t>
      </w:r>
      <w:r>
        <w:rPr>
          <w:rFonts w:hint="eastAsia" w:ascii="仿宋_GB2312" w:hAnsi="宋体" w:eastAsia="仿宋_GB2312"/>
          <w:color w:val="000000" w:themeColor="text1"/>
          <w:sz w:val="32"/>
          <w:szCs w:val="32"/>
          <w14:textFill>
            <w14:solidFill>
              <w14:schemeClr w14:val="tx1"/>
            </w14:solidFill>
          </w14:textFill>
        </w:rPr>
        <w:t>，以及占用</w:t>
      </w:r>
      <w:r>
        <w:rPr>
          <w:rFonts w:ascii="仿宋_GB2312" w:hAnsi="宋体" w:eastAsia="仿宋_GB2312"/>
          <w:color w:val="000000" w:themeColor="text1"/>
          <w:sz w:val="32"/>
          <w:szCs w:val="32"/>
          <w14:textFill>
            <w14:solidFill>
              <w14:schemeClr w14:val="tx1"/>
            </w14:solidFill>
          </w14:textFill>
        </w:rPr>
        <w:t>控股股东、实际控制人或</w:t>
      </w:r>
      <w:r>
        <w:rPr>
          <w:rFonts w:hint="eastAsia" w:ascii="仿宋_GB2312" w:hAnsi="宋体" w:eastAsia="仿宋_GB2312"/>
          <w:color w:val="000000" w:themeColor="text1"/>
          <w:sz w:val="32"/>
          <w:szCs w:val="32"/>
          <w14:textFill>
            <w14:solidFill>
              <w14:schemeClr w14:val="tx1"/>
            </w14:solidFill>
          </w14:textFill>
        </w:rPr>
        <w:t>关联方资金的相关费用情况，对于无偿占用金额较大的，通过按照同期贷款基准利率测算对损益的影响。</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发行人存在大额汇兑损益的，结合发行人收付款条件、主要结算币种、汇率走势等，分析汇兑损益金额的合理性</w:t>
      </w:r>
      <w:r>
        <w:rPr>
          <w:rFonts w:hint="eastAsia" w:ascii="仿宋_GB2312" w:hAnsi="宋体" w:eastAsia="仿宋_GB2312"/>
          <w:color w:val="000000" w:themeColor="text1"/>
          <w:sz w:val="32"/>
          <w:szCs w:val="32"/>
          <w14:textFill>
            <w14:solidFill>
              <w14:schemeClr w14:val="tx1"/>
            </w14:solidFill>
          </w14:textFill>
        </w:rPr>
        <w:t>以及相应的外汇波动风险。</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4、抽样测试</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结合发行人的业务特点、重要性水平、期间费用的明细构成特点等，针对性地抽取样本，检查期间费用相关的合同、付款凭证、成果验收单、发票等业务和财务凭证，验证费用发生的真实性、是否记录在恰当的会计期间。</w:t>
      </w:r>
    </w:p>
    <w:p>
      <w:pPr>
        <w:spacing w:line="360" w:lineRule="auto"/>
        <w:ind w:firstLine="640" w:firstLineChars="200"/>
        <w:outlineLvl w:val="2"/>
        <w:rPr>
          <w:rFonts w:ascii="仿宋_GB2312" w:hAnsi="宋体" w:eastAsia="仿宋_GB2312"/>
          <w:color w:val="000000"/>
          <w:sz w:val="32"/>
          <w:szCs w:val="32"/>
        </w:rPr>
      </w:pPr>
      <w:bookmarkStart w:id="101" w:name="_Toc76472373"/>
      <w:bookmarkStart w:id="102" w:name="_Toc105940634"/>
      <w:r>
        <w:rPr>
          <w:rFonts w:ascii="仿宋_GB2312" w:hAnsi="宋体" w:eastAsia="仿宋_GB2312"/>
          <w:color w:val="000000"/>
          <w:sz w:val="32"/>
          <w:szCs w:val="32"/>
        </w:rPr>
        <w:t xml:space="preserve">4.5.21  </w:t>
      </w:r>
      <w:r>
        <w:rPr>
          <w:rFonts w:hint="eastAsia" w:ascii="仿宋_GB2312" w:hAnsi="宋体" w:eastAsia="仿宋_GB2312"/>
          <w:color w:val="000000"/>
          <w:sz w:val="32"/>
          <w:szCs w:val="32"/>
        </w:rPr>
        <w:t>财务报表截止日之后事项的核查</w:t>
      </w:r>
      <w:bookmarkEnd w:id="101"/>
      <w:bookmarkEnd w:id="102"/>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核查资产负债表日后事项、或有事项、其他重要事项以及重大担保、诉讼等事项在招股说明书签署日的进展情况，分析该等事项对发行人未来财务状况、盈利能力及持续经营的影响。</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督促发行人切实做好</w:t>
      </w:r>
      <w:r>
        <w:rPr>
          <w:rFonts w:hint="eastAsia" w:ascii="仿宋_GB2312" w:hAnsi="宋体" w:eastAsia="仿宋_GB2312"/>
          <w:color w:val="000000" w:themeColor="text1"/>
          <w:sz w:val="32"/>
          <w:szCs w:val="32"/>
          <w14:textFill>
            <w14:solidFill>
              <w14:schemeClr w14:val="tx1"/>
            </w14:solidFill>
          </w14:textFill>
        </w:rPr>
        <w:t>财务</w:t>
      </w:r>
      <w:r>
        <w:rPr>
          <w:rFonts w:ascii="仿宋_GB2312" w:hAnsi="宋体" w:eastAsia="仿宋_GB2312"/>
          <w:color w:val="000000" w:themeColor="text1"/>
          <w:sz w:val="32"/>
          <w:szCs w:val="32"/>
          <w14:textFill>
            <w14:solidFill>
              <w14:schemeClr w14:val="tx1"/>
            </w14:solidFill>
          </w14:textFill>
        </w:rPr>
        <w:t>截止日后主要财务信息及经营状况信息披露，</w:t>
      </w:r>
      <w:r>
        <w:rPr>
          <w:rFonts w:hint="eastAsia" w:ascii="仿宋_GB2312" w:hAnsi="宋体" w:eastAsia="仿宋_GB2312"/>
          <w:color w:val="000000" w:themeColor="text1"/>
          <w:sz w:val="32"/>
          <w:szCs w:val="32"/>
          <w14:textFill>
            <w14:solidFill>
              <w14:schemeClr w14:val="tx1"/>
            </w14:solidFill>
          </w14:textFill>
        </w:rPr>
        <w:t>可考虑通过取得财务截止日后未审计财务报表</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主要客户供应商名单</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大额业务合同</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行政处罚及诉讼仲裁文书等发行人的资料</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检索财务截止日后发布的产业政策</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发行人业务相关法律法规</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行业及可比公司的公开披露信息</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访谈发行人管理层等方式</w:t>
      </w:r>
      <w:r>
        <w:rPr>
          <w:rFonts w:ascii="仿宋_GB2312" w:hAnsi="宋体" w:eastAsia="仿宋_GB2312"/>
          <w:color w:val="000000" w:themeColor="text1"/>
          <w:sz w:val="32"/>
          <w:szCs w:val="32"/>
          <w14:textFill>
            <w14:solidFill>
              <w14:schemeClr w14:val="tx1"/>
            </w14:solidFill>
          </w14:textFill>
        </w:rPr>
        <w:t>核查发行人生产经营的内外部环境是否发生或将要发生重大变化，</w:t>
      </w:r>
      <w:r>
        <w:rPr>
          <w:rFonts w:hint="eastAsia" w:ascii="仿宋_GB2312" w:hAnsi="宋体" w:eastAsia="仿宋_GB2312"/>
          <w:color w:val="000000" w:themeColor="text1"/>
          <w:sz w:val="32"/>
          <w:szCs w:val="32"/>
          <w14:textFill>
            <w14:solidFill>
              <w14:schemeClr w14:val="tx1"/>
            </w14:solidFill>
          </w14:textFill>
        </w:rPr>
        <w:t>如</w:t>
      </w:r>
      <w:r>
        <w:rPr>
          <w:rFonts w:ascii="仿宋_GB2312" w:hAnsi="宋体" w:eastAsia="仿宋_GB2312"/>
          <w:color w:val="000000" w:themeColor="text1"/>
          <w:sz w:val="32"/>
          <w:szCs w:val="32"/>
          <w14:textFill>
            <w14:solidFill>
              <w14:schemeClr w14:val="tx1"/>
            </w14:solidFill>
          </w14:textFill>
        </w:rPr>
        <w:t>：产业政策重大调整，进出口业务受到重大限制，税收政策出现重大变化，行业周期性变化，业务模式及竞争趋势发生重大变化，主要原材料的采购规模及采购价格或主要产品的生产、销售规模及销售价格出现大幅变化，新增对未来经营可能产生较大影响的诉讼或仲裁事项，主要客户或供应商出现重大变化，</w:t>
      </w:r>
      <w:r>
        <w:rPr>
          <w:rFonts w:hint="eastAsia" w:ascii="仿宋_GB2312" w:hAnsi="宋体" w:eastAsia="仿宋_GB2312"/>
          <w:color w:val="000000" w:themeColor="text1"/>
          <w:sz w:val="32"/>
          <w:szCs w:val="32"/>
          <w14:textFill>
            <w14:solidFill>
              <w14:schemeClr w14:val="tx1"/>
            </w14:solidFill>
          </w14:textFill>
        </w:rPr>
        <w:t>信用状况发生重大变化、</w:t>
      </w:r>
      <w:r>
        <w:rPr>
          <w:rFonts w:ascii="仿宋_GB2312" w:hAnsi="宋体" w:eastAsia="仿宋_GB2312"/>
          <w:color w:val="000000" w:themeColor="text1"/>
          <w:sz w:val="32"/>
          <w:szCs w:val="32"/>
          <w14:textFill>
            <w14:solidFill>
              <w14:schemeClr w14:val="tx1"/>
            </w14:solidFill>
          </w14:textFill>
        </w:rPr>
        <w:t>重大合同条款或实际执行情况发生重大变化，重大安全事故，</w:t>
      </w:r>
      <w:r>
        <w:rPr>
          <w:rFonts w:hint="eastAsia" w:ascii="仿宋_GB2312" w:hAnsi="宋体" w:eastAsia="仿宋_GB2312"/>
          <w:color w:val="000000" w:themeColor="text1"/>
          <w:sz w:val="32"/>
          <w:szCs w:val="32"/>
          <w14:textFill>
            <w14:solidFill>
              <w14:schemeClr w14:val="tx1"/>
            </w14:solidFill>
          </w14:textFill>
        </w:rPr>
        <w:t>重大投融资或并购事项，</w:t>
      </w:r>
      <w:r>
        <w:rPr>
          <w:rFonts w:ascii="仿宋_GB2312" w:hAnsi="宋体" w:eastAsia="仿宋_GB2312"/>
          <w:color w:val="000000" w:themeColor="text1"/>
          <w:sz w:val="32"/>
          <w:szCs w:val="32"/>
          <w14:textFill>
            <w14:solidFill>
              <w14:schemeClr w14:val="tx1"/>
            </w14:solidFill>
          </w14:textFill>
        </w:rPr>
        <w:t>以及其他可能影响投资者判断的重大事项等。</w:t>
      </w:r>
    </w:p>
    <w:p>
      <w:pPr>
        <w:spacing w:line="360" w:lineRule="auto"/>
        <w:ind w:firstLine="640" w:firstLineChars="200"/>
        <w:outlineLvl w:val="2"/>
        <w:rPr>
          <w:rFonts w:ascii="仿宋_GB2312" w:hAnsi="宋体" w:eastAsia="仿宋_GB2312"/>
          <w:color w:val="000000"/>
          <w:sz w:val="32"/>
          <w:szCs w:val="32"/>
        </w:rPr>
      </w:pPr>
      <w:bookmarkStart w:id="103" w:name="_Toc105940635"/>
      <w:r>
        <w:rPr>
          <w:rFonts w:ascii="仿宋_GB2312" w:hAnsi="宋体" w:eastAsia="仿宋_GB2312"/>
          <w:color w:val="000000"/>
          <w:sz w:val="32"/>
          <w:szCs w:val="32"/>
        </w:rPr>
        <w:t xml:space="preserve">4.5.22  </w:t>
      </w:r>
      <w:r>
        <w:rPr>
          <w:rFonts w:hint="eastAsia" w:ascii="仿宋_GB2312" w:hAnsi="宋体" w:eastAsia="仿宋_GB2312"/>
          <w:color w:val="000000"/>
          <w:sz w:val="32"/>
          <w:szCs w:val="32"/>
        </w:rPr>
        <w:t>合规经营情况</w:t>
      </w:r>
      <w:bookmarkEnd w:id="103"/>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了解发行人报告期内经营的合法合规性，</w:t>
      </w:r>
      <w:r>
        <w:rPr>
          <w:rFonts w:hint="eastAsia" w:ascii="仿宋_GB2312" w:hAnsi="宋体" w:eastAsia="仿宋_GB2312"/>
          <w:color w:val="000000" w:themeColor="text1"/>
          <w:sz w:val="32"/>
          <w:szCs w:val="32"/>
          <w14:textFill>
            <w14:solidFill>
              <w14:schemeClr w14:val="tx1"/>
            </w14:solidFill>
          </w14:textFill>
        </w:rPr>
        <w:t>包括但不限于税务、外汇、土地、市场监督、海关、环保、安全及社保等方面。</w:t>
      </w:r>
      <w:r>
        <w:rPr>
          <w:rFonts w:hint="eastAsia" w:ascii="仿宋_GB2312" w:eastAsia="仿宋_GB2312" w:hAnsiTheme="minorEastAsia"/>
          <w:color w:val="000000" w:themeColor="text1"/>
          <w:sz w:val="32"/>
          <w:szCs w:val="32"/>
          <w14:textFill>
            <w14:solidFill>
              <w14:schemeClr w14:val="tx1"/>
            </w14:solidFill>
          </w14:textFill>
        </w:rPr>
        <w:t>若存在违法违规行为，应详细核查违规事实及受到处罚的情况；若不存在违法违规行为，应取得发行人明确的书面声明。</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具体尽职调查要点如下：</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（1）通过公开信息查询，核查发行人是否存在重大违法、违规或不诚信行为；</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（2</w:t>
      </w:r>
      <w:r>
        <w:rPr>
          <w:rFonts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在必要时</w:t>
      </w:r>
      <w:r>
        <w:rPr>
          <w:rFonts w:ascii="仿宋_GB2312" w:eastAsia="仿宋_GB2312" w:hAnsiTheme="minorEastAsia"/>
          <w:color w:val="000000" w:themeColor="text1"/>
          <w:sz w:val="32"/>
          <w:szCs w:val="32"/>
          <w14:textFill>
            <w14:solidFill>
              <w14:schemeClr w14:val="tx1"/>
            </w14:solidFill>
          </w14:textFill>
        </w:rPr>
        <w:t>获取发行人相关政府部门出具的报告期内的合</w:t>
      </w:r>
      <w:r>
        <w:rPr>
          <w:rFonts w:hint="eastAsia" w:ascii="仿宋_GB2312" w:eastAsia="仿宋_GB2312" w:hAnsiTheme="minorEastAsia"/>
          <w:color w:val="000000" w:themeColor="text1"/>
          <w:sz w:val="32"/>
          <w:szCs w:val="32"/>
          <w14:textFill>
            <w14:solidFill>
              <w14:schemeClr w14:val="tx1"/>
            </w14:solidFill>
          </w14:textFill>
        </w:rPr>
        <w:t>规证明，实地走访市场监督管理、税务、海关、土地管理、环保、应急管理、人社、司法、银行等各类政府部门进一步访谈确认；</w:t>
      </w:r>
    </w:p>
    <w:p>
      <w:pPr>
        <w:spacing w:line="360" w:lineRule="auto"/>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（3</w:t>
      </w:r>
      <w:r>
        <w:rPr>
          <w:rFonts w:ascii="仿宋_GB2312" w:eastAsia="仿宋_GB2312" w:hAnsiTheme="minorEastAsia"/>
          <w:color w:val="000000" w:themeColor="text1"/>
          <w:sz w:val="32"/>
          <w:szCs w:val="32"/>
          <w14:textFill>
            <w14:solidFill>
              <w14:schemeClr w14:val="tx1"/>
            </w14:solidFill>
          </w14:textFill>
        </w:rPr>
        <w:t>）查阅发行人供销合同，同时走访及访谈发行人主要客户及供应商，确认发行人在日常购销活动中是否存在不规范行为；</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（4</w:t>
      </w:r>
      <w:r>
        <w:rPr>
          <w:rFonts w:ascii="仿宋_GB2312" w:eastAsia="仿宋_GB2312" w:hAnsiTheme="minorEastAsia"/>
          <w:color w:val="000000" w:themeColor="text1"/>
          <w:sz w:val="32"/>
          <w:szCs w:val="32"/>
          <w14:textFill>
            <w14:solidFill>
              <w14:schemeClr w14:val="tx1"/>
            </w14:solidFill>
          </w14:textFill>
        </w:rPr>
        <w:t>）访谈发行人管理人员及员工，同时查阅发行人完税凭证、工商登记、社保及公积金缴纳情况、无形资产权属文件，获取报告期内营业外收入及营业外支出的明细，内部了解发行人经营的合法合</w:t>
      </w:r>
      <w:r>
        <w:rPr>
          <w:rFonts w:hint="eastAsia" w:ascii="仿宋_GB2312" w:eastAsia="仿宋_GB2312" w:hAnsiTheme="minorEastAsia"/>
          <w:color w:val="000000" w:themeColor="text1"/>
          <w:sz w:val="32"/>
          <w:szCs w:val="32"/>
          <w14:textFill>
            <w14:solidFill>
              <w14:schemeClr w14:val="tx1"/>
            </w14:solidFill>
          </w14:textFill>
        </w:rPr>
        <w:t>规性。</w:t>
      </w:r>
    </w:p>
    <w:p>
      <w:pPr>
        <w:spacing w:line="360" w:lineRule="auto"/>
        <w:ind w:firstLine="640" w:firstLineChars="20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各类公开信息查询事项及网站参考如下：</w:t>
      </w:r>
      <w:bookmarkStart w:id="353" w:name="_GoBack"/>
      <w:bookmarkEnd w:id="353"/>
    </w:p>
    <w:tbl>
      <w:tblPr>
        <w:tblStyle w:val="22"/>
        <w:tblW w:w="5000" w:type="pct"/>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471"/>
        <w:gridCol w:w="605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blHeader/>
        </w:trPr>
        <w:tc>
          <w:tcPr>
            <w:tcW w:w="2471" w:type="dxa"/>
            <w:shd w:val="clear" w:color="auto" w:fill="BEBEBE" w:themeFill="background1" w:themeFillShade="BF"/>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查询事项</w:t>
            </w:r>
          </w:p>
        </w:tc>
        <w:tc>
          <w:tcPr>
            <w:tcW w:w="6057" w:type="dxa"/>
            <w:shd w:val="clear" w:color="auto" w:fill="BEBEBE" w:themeFill="background1" w:themeFillShade="BF"/>
            <w:vAlign w:val="center"/>
          </w:tcPr>
          <w:p>
            <w:pPr>
              <w:widowControl/>
              <w:spacing w:line="360" w:lineRule="auto"/>
              <w:jc w:val="center"/>
              <w:rPr>
                <w:rFonts w:ascii="仿宋" w:hAnsi="仿宋" w:eastAsia="仿宋" w:cs="宋体"/>
                <w:b/>
                <w:color w:val="000000"/>
                <w:kern w:val="0"/>
                <w:szCs w:val="21"/>
              </w:rPr>
            </w:pPr>
            <w:r>
              <w:rPr>
                <w:rFonts w:hint="eastAsia" w:ascii="仿宋" w:hAnsi="仿宋" w:eastAsia="仿宋" w:cs="宋体"/>
                <w:b/>
                <w:color w:val="000000"/>
                <w:kern w:val="0"/>
                <w:szCs w:val="21"/>
              </w:rPr>
              <w:t>网站名称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3" w:hRule="atLeast"/>
        </w:trPr>
        <w:tc>
          <w:tcPr>
            <w:tcW w:w="2471" w:type="dxa"/>
            <w:vMerge w:val="restart"/>
            <w:shd w:val="clear" w:color="auto" w:fill="auto"/>
            <w:vAlign w:val="center"/>
          </w:tcPr>
          <w:p>
            <w:pPr>
              <w:widowControl/>
              <w:spacing w:line="360" w:lineRule="auto"/>
              <w:jc w:val="center"/>
              <w:rPr>
                <w:rFonts w:ascii="仿宋" w:hAnsi="仿宋" w:eastAsia="仿宋" w:cs="宋体"/>
                <w:color w:val="333333"/>
                <w:kern w:val="0"/>
                <w:sz w:val="18"/>
                <w:szCs w:val="18"/>
              </w:rPr>
            </w:pPr>
            <w:r>
              <w:rPr>
                <w:rFonts w:hint="eastAsia" w:ascii="仿宋" w:hAnsi="仿宋" w:eastAsia="仿宋" w:cs="宋体"/>
                <w:color w:val="333333"/>
                <w:kern w:val="0"/>
                <w:sz w:val="18"/>
                <w:szCs w:val="18"/>
              </w:rPr>
              <w:t>基本信用信息</w:t>
            </w:r>
          </w:p>
        </w:tc>
        <w:tc>
          <w:tcPr>
            <w:tcW w:w="6057" w:type="dxa"/>
            <w:shd w:val="clear" w:color="auto" w:fill="auto"/>
            <w:vAlign w:val="center"/>
          </w:tcPr>
          <w:p>
            <w:pPr>
              <w:widowControl/>
              <w:spacing w:line="360" w:lineRule="auto"/>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信用中国</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333333"/>
                <w:kern w:val="0"/>
                <w:sz w:val="18"/>
                <w:szCs w:val="18"/>
              </w:rPr>
            </w:pPr>
          </w:p>
        </w:tc>
        <w:tc>
          <w:tcPr>
            <w:tcW w:w="6057" w:type="dxa"/>
            <w:shd w:val="clear" w:color="auto" w:fill="auto"/>
            <w:vAlign w:val="center"/>
          </w:tcPr>
          <w:p>
            <w:pPr>
              <w:widowControl/>
              <w:spacing w:line="360" w:lineRule="auto"/>
              <w:jc w:val="left"/>
              <w:rPr>
                <w:rFonts w:ascii="仿宋" w:hAnsi="仿宋" w:eastAsia="仿宋" w:cs="宋体"/>
                <w:color w:val="333333"/>
                <w:kern w:val="0"/>
                <w:sz w:val="18"/>
                <w:szCs w:val="18"/>
              </w:rPr>
            </w:pPr>
            <w:r>
              <w:rPr>
                <w:rFonts w:hint="eastAsia" w:ascii="仿宋" w:hAnsi="仿宋" w:eastAsia="仿宋" w:cs="宋体"/>
                <w:color w:val="333333"/>
                <w:kern w:val="0"/>
                <w:sz w:val="18"/>
                <w:szCs w:val="18"/>
              </w:rPr>
              <w:t>第三方信息查询系统，如天眼查、启信宝、企查查等</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工商登记信息</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国家企业信用信息公示系统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restar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涉诉信息</w:t>
            </w:r>
          </w:p>
        </w:tc>
        <w:tc>
          <w:tcPr>
            <w:tcW w:w="6057" w:type="dxa"/>
            <w:shd w:val="clear" w:color="auto" w:fill="auto"/>
            <w:vAlign w:val="center"/>
          </w:tcPr>
          <w:p>
            <w:pPr>
              <w:widowControl/>
              <w:spacing w:line="360" w:lineRule="auto"/>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rPr>
              <w:t>中国裁判文书网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rPr>
              <w:t>各省级高院网站，如北京法院网、上海法院网、浙江法院网等</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rPr>
              <w:t>全国法院被执行人信息查询系统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rPr>
              <w:t>全国法院失信被执行人名单信息查询系统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restar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土地信息</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国土资源部网站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中国土地市场网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国家土地督查</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专利信息</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国家知识产权局“专利检索系统”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商标信息</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中国商标网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著作权信息</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中国版权保护中心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restar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董监高任职资格</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证监会网站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上交所网站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深交所网站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北交所网站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vMerge w:val="continue"/>
            <w:vAlign w:val="center"/>
          </w:tcPr>
          <w:p>
            <w:pPr>
              <w:widowControl/>
              <w:spacing w:line="360" w:lineRule="auto"/>
              <w:jc w:val="left"/>
              <w:rPr>
                <w:rFonts w:ascii="仿宋" w:hAnsi="仿宋" w:eastAsia="仿宋" w:cs="宋体"/>
                <w:color w:val="000000"/>
                <w:kern w:val="0"/>
                <w:sz w:val="18"/>
                <w:szCs w:val="18"/>
              </w:rPr>
            </w:pP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搜索引擎</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环境保护信息</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各级环保部门网站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2471" w:type="dxa"/>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税务信息</w:t>
            </w:r>
          </w:p>
        </w:tc>
        <w:tc>
          <w:tcPr>
            <w:tcW w:w="6057" w:type="dxa"/>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各级税务部门网站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海关信息</w:t>
            </w: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中国海关企业进出口信用信息公示平台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外汇管理信息</w:t>
            </w: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各级外汇管理局的平台</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restar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涉及公众公司信息</w:t>
            </w: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上交所网站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深交所网站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北交所网站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巨潮资讯网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股转公司网站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联交所披露易</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中国债券信息网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区域股权市场网站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香港公司信息</w:t>
            </w: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公司注册处综合资讯系统</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restart"/>
            <w:shd w:val="clear" w:color="auto" w:fill="auto"/>
            <w:vAlign w:val="center"/>
          </w:tcPr>
          <w:p>
            <w:pPr>
              <w:widowControl/>
              <w:spacing w:line="360" w:lineRule="auto"/>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其他信息</w:t>
            </w: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建筑业务资质查询</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国家食品药品监督管理总局网站</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人民法院诉讼资产网</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全国组织机构代码管理中心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1449" w:type="pct"/>
            <w:vMerge w:val="continue"/>
            <w:vAlign w:val="center"/>
          </w:tcPr>
          <w:p>
            <w:pPr>
              <w:widowControl/>
              <w:spacing w:line="360" w:lineRule="auto"/>
              <w:jc w:val="left"/>
              <w:rPr>
                <w:rFonts w:ascii="仿宋" w:hAnsi="仿宋" w:eastAsia="仿宋" w:cs="宋体"/>
                <w:color w:val="000000"/>
                <w:kern w:val="0"/>
                <w:sz w:val="18"/>
                <w:szCs w:val="18"/>
              </w:rPr>
            </w:pPr>
          </w:p>
        </w:tc>
        <w:tc>
          <w:tcPr>
            <w:tcW w:w="3551" w:type="pct"/>
            <w:shd w:val="clear" w:color="auto" w:fill="auto"/>
            <w:vAlign w:val="center"/>
          </w:tcPr>
          <w:p>
            <w:pPr>
              <w:widowControl/>
              <w:spacing w:line="360" w:lineRule="auto"/>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中国人民银行征信中心</w:t>
            </w:r>
          </w:p>
        </w:tc>
      </w:tr>
    </w:tbl>
    <w:p>
      <w:pPr>
        <w:spacing w:line="360" w:lineRule="auto"/>
        <w:ind w:firstLine="640" w:firstLineChars="200"/>
        <w:rPr>
          <w:rFonts w:ascii="仿宋_GB2312" w:hAnsiTheme="minorEastAsia"/>
          <w:color w:val="000000" w:themeColor="text1"/>
          <w:sz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w:t>
      </w:r>
      <w:r>
        <w:rPr>
          <w:rFonts w:ascii="仿宋_GB2312" w:eastAsia="仿宋_GB2312" w:hAnsiTheme="minorEastAsia"/>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如发行人存在违法行为的，通过获取其整改资料和罚款缴纳凭证、检索公开媒体报道、访谈相关人员、咨询发行人律师等，核查其违法行为是否未导致严重环境污染、重大人员伤亡或社会影响恶劣，如有需要可获取相关主管部门的专项说明。</w:t>
      </w:r>
    </w:p>
    <w:p>
      <w:pPr>
        <w:spacing w:line="360" w:lineRule="auto"/>
        <w:ind w:firstLine="640" w:firstLineChars="200"/>
        <w:outlineLvl w:val="2"/>
        <w:rPr>
          <w:rFonts w:ascii="仿宋_GB2312" w:hAnsi="宋体" w:eastAsia="仿宋_GB2312"/>
          <w:color w:val="000000"/>
          <w:sz w:val="32"/>
          <w:szCs w:val="32"/>
        </w:rPr>
      </w:pPr>
      <w:bookmarkStart w:id="104" w:name="_Toc105940636"/>
      <w:r>
        <w:rPr>
          <w:rFonts w:ascii="仿宋_GB2312" w:hAnsi="宋体" w:eastAsia="仿宋_GB2312"/>
          <w:color w:val="000000"/>
          <w:sz w:val="32"/>
          <w:szCs w:val="32"/>
        </w:rPr>
        <w:t xml:space="preserve">4.5.23  </w:t>
      </w:r>
      <w:r>
        <w:rPr>
          <w:rFonts w:hint="eastAsia" w:ascii="仿宋_GB2312" w:hAnsi="宋体" w:eastAsia="仿宋_GB2312"/>
          <w:color w:val="000000"/>
          <w:sz w:val="32"/>
          <w:szCs w:val="32"/>
        </w:rPr>
        <w:t>内部控制</w:t>
      </w:r>
      <w:bookmarkEnd w:id="104"/>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1、了解内部控制</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1）与发行人董监高人员及员工访谈，查阅发行人组织</w:t>
      </w:r>
      <w:r>
        <w:rPr>
          <w:rFonts w:hint="eastAsia" w:ascii="仿宋_GB2312" w:hAnsi="宋体" w:eastAsia="仿宋_GB2312"/>
          <w:color w:val="000000" w:themeColor="text1"/>
          <w:sz w:val="32"/>
          <w:szCs w:val="32"/>
          <w14:textFill>
            <w14:solidFill>
              <w14:schemeClr w14:val="tx1"/>
            </w14:solidFill>
          </w14:textFill>
        </w:rPr>
        <w:t>架构、各项业务及管理制度、管理层会议记录等资料，分析评价发行人的控制环境。</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2）与发行人相关业务部门进行访谈，查阅各类业务管理、流程的相关制度文件，了解销售与收款、采购与付款、生产与存货、研发、货币资金、投资与筹资等各类业务循环过程和内部控制流程。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2、内部控制测试</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1）与会计师进行沟通，结合对发行人内部控制的了解，确定各类业务循环的关键控制点。</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与会计师进行沟通，了解会计师进行内部控制测试范围、样本选取方法及数量；并对内部控制执行穿行测试，复核</w:t>
      </w:r>
      <w:r>
        <w:rPr>
          <w:rFonts w:ascii="仿宋_GB2312" w:hAnsi="宋体" w:eastAsia="仿宋_GB2312"/>
          <w:color w:val="000000" w:themeColor="text1"/>
          <w:sz w:val="32"/>
          <w:szCs w:val="32"/>
          <w14:textFill>
            <w14:solidFill>
              <w14:schemeClr w14:val="tx1"/>
            </w14:solidFill>
          </w14:textFill>
        </w:rPr>
        <w:t>评价发行人的内部控制运行是否有效</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3、信息系统</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若发行人主要采用互联网销售（取得收入或毛利占比超过</w:t>
      </w:r>
      <w:r>
        <w:rPr>
          <w:rFonts w:ascii="仿宋_GB2312" w:hAnsi="宋体" w:eastAsia="仿宋_GB2312"/>
          <w:color w:val="000000" w:themeColor="text1"/>
          <w:sz w:val="32"/>
          <w:szCs w:val="32"/>
          <w14:textFill>
            <w14:solidFill>
              <w14:schemeClr w14:val="tx1"/>
            </w14:solidFill>
          </w14:textFill>
        </w:rPr>
        <w:t>30%</w:t>
      </w:r>
      <w:r>
        <w:rPr>
          <w:rFonts w:hint="eastAsia" w:ascii="仿宋_GB2312" w:hAnsi="宋体" w:eastAsia="仿宋_GB2312"/>
          <w:color w:val="000000" w:themeColor="text1"/>
          <w:sz w:val="32"/>
          <w:szCs w:val="32"/>
          <w14:textFill>
            <w14:solidFill>
              <w14:schemeClr w14:val="tx1"/>
            </w14:solidFill>
          </w14:textFill>
        </w:rPr>
        <w:t>）或其客户主要采用互联网销售、日常经营活动高度依赖信息系统，通过了解信息系统运行情况及管理情况，专项核查信息系统的可靠性、有效性。必要时保荐人和申报会计师可聘请第三方专家参加核查工作；在确保第三方专家胜任能力和独立性的基础上，可以合理采用第三方专家意见，并对第三方专家意见履行审慎关注和必要复核程序。（具体请参考“特定行业保荐人尽职调查工作指南第</w:t>
      </w:r>
      <w:r>
        <w:rPr>
          <w:rFonts w:ascii="仿宋_GB2312" w:hAnsi="宋体" w:eastAsia="仿宋_GB2312"/>
          <w:color w:val="000000" w:themeColor="text1"/>
          <w:sz w:val="32"/>
          <w:szCs w:val="32"/>
          <w14:textFill>
            <w14:solidFill>
              <w14:schemeClr w14:val="tx1"/>
            </w14:solidFill>
          </w14:textFill>
        </w:rPr>
        <w:t>2号——互联网行业”）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1）了解发行人系统开发、测试、上线、变更、运维、安全、备份、逻辑访问等情况，评估发行人信息系统内部控制的管理体系。</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2）对发行人业务人员、IT人员、财务人员及IT审计机构相关人员进行访谈，了解发行人的主要信息系统</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经营数据在各个系统的流转过程。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获取并查阅发行人组织架构图、IT管理制度，了解信息系统建设规划、信息系统外包服务商的选择与评估方式、信息安全风险评估及安全检查情况；了解信息系统立项申请及审批流程、项目测试及验收流程、报告期内信息系统的历次更新、升级等程序变更情况，并对程序变更的操作日志进行抽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实地察看机房（如有），关注对信息系统物理安全的防范措施与设备情况，同时了解各系统用户角色与权限及超级用户的情况；了解各系统用户角色与权限及超级用户的情况；抽查超级用户操作日志记录，关注是否存在未经授权的异常操作行为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5）与IT审计机构进行沟通</w:t>
      </w:r>
      <w:r>
        <w:rPr>
          <w:rFonts w:hint="eastAsia" w:ascii="仿宋_GB2312" w:hAnsi="宋体" w:eastAsia="仿宋_GB2312"/>
          <w:color w:val="000000" w:themeColor="text1"/>
          <w:sz w:val="32"/>
          <w:szCs w:val="32"/>
          <w:lang w:eastAsia="zh-CN"/>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通过穿行相关业务及管理流程，对其中支撑流程各个环节的信息系统功能进行穿行测试和分析，梳理主营业务在系统中各环节的数据流转过程，并结合系统功能和管控特点，设计相应的应用控制测试点，核查发行人经营数据的真实性、准确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6）取得IT审计机构对信息系统出具的专项核查意见或报告</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7）保荐人在核查信息系统的基础上，关注经营数据的真实性以及经营数据与财务数据的匹配性。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8）如客户通过互联网销售发行人产品且该类业务模式占比超过30%，应</w:t>
      </w:r>
      <w:r>
        <w:rPr>
          <w:rFonts w:hint="eastAsia" w:ascii="仿宋_GB2312" w:hAnsi="宋体" w:eastAsia="仿宋_GB2312"/>
          <w:color w:val="000000" w:themeColor="text1"/>
          <w:sz w:val="32"/>
          <w:szCs w:val="32"/>
          <w14:textFill>
            <w14:solidFill>
              <w14:schemeClr w14:val="tx1"/>
            </w14:solidFill>
          </w14:textFill>
        </w:rPr>
        <w:t>根据客户情况适当</w:t>
      </w:r>
      <w:r>
        <w:rPr>
          <w:rFonts w:ascii="仿宋_GB2312" w:hAnsi="宋体" w:eastAsia="仿宋_GB2312"/>
          <w:color w:val="000000" w:themeColor="text1"/>
          <w:sz w:val="32"/>
          <w:szCs w:val="32"/>
          <w14:textFill>
            <w14:solidFill>
              <w14:schemeClr w14:val="tx1"/>
            </w14:solidFill>
          </w14:textFill>
        </w:rPr>
        <w:t>获取客户交易数据并核查是否与发行人数据匹配。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9）鼓励保荐人以风险导向为原则，针对发行人主要风险点执行实质性程序，包括但不限于经营数据、财务数据一致性核查、收入数据真实性核查、用户行为核查、综合数据分析等，并可以结合实地走访或电话访谈平台方、物流公司或终端客户等方式，进一步验证经营数据的真实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基于信息系统对日常业务运营的重要性，</w:t>
      </w:r>
      <w:r>
        <w:rPr>
          <w:rFonts w:hint="eastAsia" w:ascii="仿宋_GB2312" w:hAnsi="宋体" w:eastAsia="仿宋_GB2312"/>
          <w:color w:val="000000" w:themeColor="text1"/>
          <w:sz w:val="32"/>
          <w:szCs w:val="32"/>
          <w14:textFill>
            <w14:solidFill>
              <w14:schemeClr w14:val="tx1"/>
            </w14:solidFill>
          </w14:textFill>
        </w:rPr>
        <w:t>鼓励</w:t>
      </w:r>
      <w:r>
        <w:rPr>
          <w:rFonts w:ascii="仿宋_GB2312" w:hAnsi="宋体" w:eastAsia="仿宋_GB2312"/>
          <w:color w:val="000000" w:themeColor="text1"/>
          <w:sz w:val="32"/>
          <w:szCs w:val="32"/>
          <w14:textFill>
            <w14:solidFill>
              <w14:schemeClr w14:val="tx1"/>
            </w14:solidFill>
          </w14:textFill>
        </w:rPr>
        <w:t>对非</w:t>
      </w:r>
      <w:r>
        <w:rPr>
          <w:rFonts w:hint="eastAsia" w:ascii="仿宋_GB2312" w:hAnsi="宋体" w:eastAsia="仿宋_GB2312"/>
          <w:color w:val="000000" w:themeColor="text1"/>
          <w:sz w:val="32"/>
          <w:szCs w:val="32"/>
          <w14:textFill>
            <w14:solidFill>
              <w14:schemeClr w14:val="tx1"/>
            </w14:solidFill>
          </w14:textFill>
        </w:rPr>
        <w:t>上</w:t>
      </w:r>
      <w:r>
        <w:rPr>
          <w:rFonts w:ascii="仿宋_GB2312" w:hAnsi="宋体" w:eastAsia="仿宋_GB2312"/>
          <w:color w:val="000000" w:themeColor="text1"/>
          <w:sz w:val="32"/>
          <w:szCs w:val="32"/>
          <w14:textFill>
            <w14:solidFill>
              <w14:schemeClr w14:val="tx1"/>
            </w14:solidFill>
          </w14:textFill>
        </w:rPr>
        <w:t>述三类业务模式的发行人同样执行信息系统可靠性专项核查。</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4、评估内部控制有效性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与发行人高级管理人员、内部审计、注册会计师等部门和人员交谈，了解发行人内部控制的监督和评价制度。取得会计师关于发行人内部控制的鉴证报告、发行人内部审计报告、监事会报告，对报告期内的风险事项进行实证分析。</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2）取得发行人的内部审计人员的任职履历、专业资格证书、岗位职责等，核查其人数是否与业务规模相当，是否具备胜任能力。</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结合发行人内审部门、外部审计机构以及保荐人发现的内部控制缺陷，评估风险的影响，持续追踪发行人针对内控的薄弱环节所采取的改进措施及效果。内部审计是否涵盖了各项业务、分支机构、财务会计、数据系统等各类别，调查了解近年来发行人通过内部审计避免或减少损失的情况，并综合分析发行人内部审计及监督体系的有效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取得发行人管理层对内部控制完整性、合理性及有效性的自我评价书面意见。结合内部控制核查，关注是否存在财务内控不规范情形及整改、运行情况，信息披露充分性，不规范行为的合法合规性，是否影响财务核算的真实、准确，不规范行为的整改措施及内控制度，不规范行为的后续影响。</w:t>
      </w:r>
    </w:p>
    <w:p>
      <w:pPr>
        <w:spacing w:line="360" w:lineRule="auto"/>
        <w:ind w:firstLine="640" w:firstLineChars="200"/>
        <w:rPr>
          <w:rFonts w:ascii="仿宋_GB2312" w:hAnsi="宋体"/>
          <w:color w:val="000000" w:themeColor="text1"/>
          <w:sz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鼓励基于不规范情形的影响和重要性，核查报告期存在财务内控不规范情形是否属于主观故意或恶意行为并构成重大违法违规，是否存在被处罚情形或风险、提交申报材料的审计截止日前是否已整改完毕。</w:t>
      </w:r>
    </w:p>
    <w:p>
      <w:pPr>
        <w:spacing w:line="360" w:lineRule="auto"/>
        <w:ind w:firstLine="640" w:firstLineChars="200"/>
        <w:outlineLvl w:val="2"/>
        <w:rPr>
          <w:rFonts w:ascii="仿宋_GB2312" w:hAnsi="宋体" w:eastAsia="仿宋_GB2312"/>
          <w:color w:val="000000"/>
          <w:sz w:val="32"/>
          <w:szCs w:val="32"/>
        </w:rPr>
      </w:pPr>
      <w:bookmarkStart w:id="105" w:name="_Toc105940637"/>
      <w:r>
        <w:rPr>
          <w:rFonts w:ascii="仿宋_GB2312" w:hAnsi="宋体" w:eastAsia="仿宋_GB2312"/>
          <w:color w:val="000000"/>
          <w:sz w:val="32"/>
          <w:szCs w:val="32"/>
        </w:rPr>
        <w:t xml:space="preserve">4.5.24  </w:t>
      </w:r>
      <w:r>
        <w:rPr>
          <w:rFonts w:hint="eastAsia" w:ascii="仿宋_GB2312" w:hAnsi="宋体" w:eastAsia="仿宋_GB2312"/>
          <w:color w:val="000000"/>
          <w:sz w:val="32"/>
          <w:szCs w:val="32"/>
        </w:rPr>
        <w:t>独立情况</w:t>
      </w:r>
      <w:bookmarkEnd w:id="105"/>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对独立性的尽职调查主要集中在资产、人员、财务、机构和业务五个方面。保荐人应当获取发行人控股股东、实际控制人关于保持发行人资产、人员、财务、机构和业务独立的承诺。同时，对于上述五个方面的尽职调查要点具体如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1、资产独立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1）通过查阅相关会议记录、资产购买合同、银行回单、发票、入账凭证、权属凭证、固定资产及无形</w:t>
      </w:r>
      <w:r>
        <w:rPr>
          <w:rFonts w:hint="eastAsia" w:ascii="仿宋_GB2312" w:hAnsi="宋体" w:eastAsia="仿宋_GB2312"/>
          <w:color w:val="000000" w:themeColor="text1"/>
          <w:sz w:val="32"/>
          <w:szCs w:val="32"/>
          <w14:textFill>
            <w14:solidFill>
              <w14:schemeClr w14:val="tx1"/>
            </w14:solidFill>
          </w14:textFill>
        </w:rPr>
        <w:t>资产台账等，核查发行人固定资产及无形资产的权属情况；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通过查阅产权证书、招拍挂公示信息、</w:t>
      </w:r>
      <w:r>
        <w:rPr>
          <w:rFonts w:ascii="仿宋_GB2312" w:hAnsi="宋体" w:eastAsia="仿宋_GB2312"/>
          <w:color w:val="000000" w:themeColor="text1"/>
          <w:sz w:val="32"/>
          <w:szCs w:val="32"/>
          <w14:textFill>
            <w14:solidFill>
              <w14:schemeClr w14:val="tx1"/>
            </w14:solidFill>
          </w14:textFill>
        </w:rPr>
        <w:t>房产管理、土地管理、知识产权管理等部门</w:t>
      </w:r>
      <w:r>
        <w:rPr>
          <w:rFonts w:hint="eastAsia" w:ascii="仿宋_GB2312" w:hAnsi="宋体" w:eastAsia="仿宋_GB2312"/>
          <w:color w:val="000000" w:themeColor="text1"/>
          <w:sz w:val="32"/>
          <w:szCs w:val="32"/>
          <w14:textFill>
            <w14:solidFill>
              <w14:schemeClr w14:val="tx1"/>
            </w14:solidFill>
          </w14:textFill>
        </w:rPr>
        <w:t>的缴费纳税记录，</w:t>
      </w:r>
      <w:r>
        <w:rPr>
          <w:rFonts w:ascii="仿宋_GB2312" w:hAnsi="宋体" w:eastAsia="仿宋_GB2312"/>
          <w:color w:val="000000" w:themeColor="text1"/>
          <w:sz w:val="32"/>
          <w:szCs w:val="32"/>
          <w14:textFill>
            <w14:solidFill>
              <w14:schemeClr w14:val="tx1"/>
            </w14:solidFill>
          </w14:textFill>
        </w:rPr>
        <w:t>必要时进行实物</w:t>
      </w:r>
      <w:r>
        <w:rPr>
          <w:rFonts w:hint="eastAsia" w:ascii="仿宋_GB2312" w:hAnsi="宋体" w:eastAsia="仿宋_GB2312"/>
          <w:color w:val="000000" w:themeColor="text1"/>
          <w:sz w:val="32"/>
          <w:szCs w:val="32"/>
          <w14:textFill>
            <w14:solidFill>
              <w14:schemeClr w14:val="tx1"/>
            </w14:solidFill>
          </w14:textFill>
        </w:rPr>
        <w:t>资产盘点等方法，调查发行人资产的完整性及真实性；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3）通过公开渠道及主管单位查询，核查发行人资产是否存在法律纠纷或潜在纠纷，关注发行人正在申请注册的商标、专利、版权是否存在异议申请的情形；</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通过访谈、走访的方式了解核实发行人是否具备与生产经营有关的主要生产系统、辅助生产系统和配套设施或者是否具备与经营有关的业务体系及主要相关资产，了解发行人在经营中的核心商标、专利、主要技术情况，核查是否存在生产经营所必需的资产向控股股东、实际控制人租赁，核心商标、专利、主要技术等无形资产是由控股股东、实际控制人授权使用的相关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如发行人存在租赁控股股东、实际控制人资产或发行人的专利、商标来自控股股东、实际控制人授权的情形，应核查相关资产的具体用途、对发行人的重要程度、未投入发行人的原因、租赁或授权使用费用的公允性、是否能确保发行人长期使用、今后的处置方案等，判断该等情况对发行人资产完整性和独立性的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了解报告期内金额较大、期限较长的其他应收款、其他应付款、预收及预付账款、合同资产、合同负债、关联方应收款项产生的原因及交易记录、资金流向等，核查发行人是否存在资产被控股股东或实际控制人及其关联方控制和占用的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2、人员独立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保荐人通过核查发行人员工的劳动、人事、工资报酬以及相应的社会保障是否独立管理，从而判断其人员独立性。主要的尽职调查要点如下：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获取发行人控股股东、实际控制人出具的人员独立确认文件，鼓励保荐人获取报告期各期发行人控股股东、实际控制人及其控制的其他企业员工名册及劳动/劳务合同，将其名册与发行人报告期各期的员工名册进行对比；</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抽查</w:t>
      </w:r>
      <w:r>
        <w:rPr>
          <w:rFonts w:ascii="仿宋_GB2312" w:hAnsi="宋体" w:eastAsia="仿宋_GB2312"/>
          <w:color w:val="000000" w:themeColor="text1"/>
          <w:sz w:val="32"/>
          <w:szCs w:val="32"/>
          <w14:textFill>
            <w14:solidFill>
              <w14:schemeClr w14:val="tx1"/>
            </w14:solidFill>
          </w14:textFill>
        </w:rPr>
        <w:t>报告期各期发行人员工明细表，核查发行人员工工资是否存在异常；</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（3）核查前述材料记录与发行人实际用工情况是否相符，关注获取的员工记录材料的完整性；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4）访谈发行人</w:t>
      </w:r>
      <w:r>
        <w:rPr>
          <w:rFonts w:hint="eastAsia" w:ascii="仿宋_GB2312" w:hAnsi="宋体" w:eastAsia="仿宋_GB2312"/>
          <w:color w:val="000000" w:themeColor="text1"/>
          <w:sz w:val="32"/>
          <w:szCs w:val="32"/>
          <w14:textFill>
            <w14:solidFill>
              <w14:schemeClr w14:val="tx1"/>
            </w14:solidFill>
          </w14:textFill>
        </w:rPr>
        <w:t>董监高</w:t>
      </w:r>
      <w:r>
        <w:rPr>
          <w:rFonts w:ascii="仿宋_GB2312" w:hAnsi="宋体" w:eastAsia="仿宋_GB2312"/>
          <w:color w:val="000000" w:themeColor="text1"/>
          <w:sz w:val="32"/>
          <w:szCs w:val="32"/>
          <w14:textFill>
            <w14:solidFill>
              <w14:schemeClr w14:val="tx1"/>
            </w14:solidFill>
          </w14:textFill>
        </w:rPr>
        <w:t>、财务人员及员工，了解相关人员是否在发行人控股股东、实际控制人及其控制的其他企业任职及领薪。</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3、财务独立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调查了解发行人是否设立独立的财务会计部门、建立独立的会计核算体系，是否独立进行财务决策、独立在银行开户、独立纳税，是否存在资金被控股股东、实际控制人及其控制的其他企业占用的情况，是否存在发行人为该等企业提供担保等，从而判断其财务独立性。主要的尽职调查要点如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1）查阅发行人财务会计制度、银行开户资料、征信报告、银行流水、货币资金明细账、纳税资料，必要时</w:t>
      </w:r>
      <w:r>
        <w:rPr>
          <w:rFonts w:hint="eastAsia" w:ascii="仿宋_GB2312" w:hAnsi="宋体" w:eastAsia="仿宋_GB2312"/>
          <w:color w:val="000000" w:themeColor="text1"/>
          <w:sz w:val="32"/>
          <w:szCs w:val="32"/>
          <w14:textFill>
            <w14:solidFill>
              <w14:schemeClr w14:val="tx1"/>
            </w14:solidFill>
          </w14:textFill>
        </w:rPr>
        <w:t>可函证开户银行；</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2）实地查看发行人会计核算体系及财务系统；</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）访谈发行人董监高人员及财务人员。</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4、机构独立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保荐人一般通过实地调查、访谈董监高人员和员工、查阅股东大会和董事会相关决议、查阅各机构内部规章制度等方法，判断发行人机构独立性。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5、业务独立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保荐人通过核查发行人是否具有完整的业务流程、独立的生产经营场所以及独立的采购、销售系统等，判断发行人的业务独立性。主要的尽职调查要点如下：</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1）查阅发行人和根据重要性原则查阅控股股东、实际控制人及其控制的其他企业组织机构文件，实地了解各主体的生产、采购、销售情况，走访相关的生产经营地点，并查看产、供、销系统；</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2）计算报告期内发行人关联采购和关联销售金额及比例，了解关联交易的定价是否公允，发行人对关联交易是否存在依赖；</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鼓励定价公允性核查充分考虑市场交易价格、发行人与独立第三方交易价格、对手方与第三方交易价格等多维度情形；</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3）访谈发行人管理层及员工。</w:t>
      </w:r>
    </w:p>
    <w:p>
      <w:pPr>
        <w:spacing w:line="360" w:lineRule="auto"/>
        <w:ind w:firstLine="640" w:firstLineChars="200"/>
        <w:outlineLvl w:val="2"/>
        <w:rPr>
          <w:rFonts w:ascii="仿宋_GB2312" w:hAnsi="宋体" w:eastAsia="仿宋_GB2312"/>
          <w:color w:val="000000"/>
          <w:sz w:val="32"/>
          <w:szCs w:val="32"/>
        </w:rPr>
      </w:pPr>
      <w:bookmarkStart w:id="106" w:name="_Toc105940638"/>
      <w:r>
        <w:rPr>
          <w:rFonts w:ascii="仿宋_GB2312" w:hAnsi="宋体" w:eastAsia="仿宋_GB2312"/>
          <w:color w:val="000000"/>
          <w:sz w:val="32"/>
          <w:szCs w:val="32"/>
        </w:rPr>
        <w:t xml:space="preserve">4.5.25  </w:t>
      </w:r>
      <w:r>
        <w:rPr>
          <w:rFonts w:hint="eastAsia" w:ascii="仿宋_GB2312" w:hAnsi="宋体" w:eastAsia="仿宋_GB2312"/>
          <w:color w:val="000000"/>
          <w:sz w:val="32"/>
          <w:szCs w:val="32"/>
        </w:rPr>
        <w:t>同业竞争情况</w:t>
      </w:r>
      <w:bookmarkEnd w:id="106"/>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1、保荐人通过获取发行人股东名册，全面核查发行人控股股东、实际控制人及其近亲属控制的企业的名单，核查是否存在从事与发行人主营业务相同或相似业务。</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2、保荐人针对上述名单进行公开信息系统查询其相关工商信息，针对工商资料列明的经营范围，核查是否存在同业竞争情况；针对上述名单，鼓励保荐人可通过获取调查问</w:t>
      </w:r>
      <w:r>
        <w:rPr>
          <w:rFonts w:hint="eastAsia" w:ascii="仿宋_GB2312" w:hAnsi="宋体" w:eastAsia="仿宋_GB2312"/>
          <w:color w:val="000000" w:themeColor="text1"/>
          <w:sz w:val="32"/>
          <w:szCs w:val="32"/>
          <w14:textFill>
            <w14:solidFill>
              <w14:schemeClr w14:val="tx1"/>
            </w14:solidFill>
          </w14:textFill>
        </w:rPr>
        <w:t>卷、获取客户供应商名录、获取财务报表、获取董监高及员工名单、网络信息检索、实地走访等方式识别与发行人可能存在同业竞争的企业。保荐人应关注是否存在利用近亲属范围以外的亲属关系、以解除婚姻关系、转让或注销相关企业等方式来规避同业竞争的情形。</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保荐人在认定该相同或相似的业务是否与发行人构成“竞争”时，按照实质重于形式的原则，结合相关企业历史沿革、资产、人员、主营业务，论证是否与发行人构成竞争；不能简单以产品销售地域不同、产品的档次</w:t>
      </w:r>
      <w:r>
        <w:rPr>
          <w:rFonts w:hint="eastAsia" w:ascii="仿宋_GB2312" w:hAnsi="宋体" w:eastAsia="仿宋_GB2312"/>
          <w:color w:val="000000" w:themeColor="text1"/>
          <w:sz w:val="32"/>
          <w:szCs w:val="32"/>
          <w14:textFill>
            <w14:solidFill>
              <w14:schemeClr w14:val="tx1"/>
            </w14:solidFill>
          </w14:textFill>
        </w:rPr>
        <w:t>不同等认定不构成同业竞争。</w:t>
      </w:r>
    </w:p>
    <w:p>
      <w:pPr>
        <w:spacing w:line="360" w:lineRule="auto"/>
        <w:ind w:firstLine="640" w:firstLineChars="200"/>
        <w:rPr>
          <w:sz w:val="24"/>
        </w:rPr>
      </w:pPr>
      <w:r>
        <w:rPr>
          <w:rFonts w:hint="eastAsia" w:ascii="仿宋_GB2312" w:hAnsi="宋体" w:eastAsia="仿宋_GB2312"/>
          <w:color w:val="000000" w:themeColor="text1"/>
          <w:sz w:val="32"/>
          <w:szCs w:val="32"/>
          <w14:textFill>
            <w14:solidFill>
              <w14:schemeClr w14:val="tx1"/>
            </w14:solidFill>
          </w14:textFill>
        </w:rPr>
        <w:t>考虑因素包括但不限于：关联方产品服务的具体特点、技术、商标商号、客户、供应商等方面与发行人的关系，以及业务是否有替代性、竞争性、是否有利益冲突、是否在技术和知识产权上存在同一来源、是否在同一市场范围内销售、是否在同一场所生产经营、发行人主要人员是否在关联方兼职</w:t>
      </w:r>
      <w:r>
        <w:rPr>
          <w:rFonts w:hint="eastAsia"/>
        </w:rPr>
        <w:t>、</w:t>
      </w:r>
      <w:r>
        <w:rPr>
          <w:rFonts w:hint="eastAsia" w:ascii="仿宋_GB2312" w:hAnsi="宋体" w:eastAsia="仿宋_GB2312"/>
          <w:color w:val="000000" w:themeColor="text1"/>
          <w:sz w:val="32"/>
          <w:szCs w:val="32"/>
          <w14:textFill>
            <w14:solidFill>
              <w14:schemeClr w14:val="tx1"/>
            </w14:solidFill>
          </w14:textFill>
        </w:rPr>
        <w:t>推广营销渠道是否相同等。</w:t>
      </w:r>
      <w:r>
        <w:rPr>
          <w:rFonts w:ascii="仿宋_GB2312" w:hAnsi="宋体" w:eastAsia="仿宋_GB2312"/>
          <w:color w:val="000000" w:themeColor="text1"/>
          <w:sz w:val="32"/>
          <w:szCs w:val="32"/>
          <w14:textFill>
            <w14:solidFill>
              <w14:schemeClr w14:val="tx1"/>
            </w14:solidFill>
          </w14:textFill>
        </w:rPr>
        <w:t xml:space="preserve"> </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如存在同业竞争情形的，保荐人应分析核查同业竞争对发行人的影响，结合竞争方与发行人的经营地域、产品或服务的定位，核查同业竞争是否会导致发行人与竞争方之间的非公平竞争，是否会导致发行人与竞争方之间存在利益输送、是否会导致发行人与竞争方之间相互或者单方让渡商业机会情形，对未来发展的潜在影响等方面。保荐人通过取</w:t>
      </w:r>
      <w:r>
        <w:rPr>
          <w:rFonts w:hint="eastAsia" w:ascii="仿宋_GB2312" w:hAnsi="宋体" w:eastAsia="仿宋_GB2312"/>
          <w:color w:val="000000" w:themeColor="text1"/>
          <w:sz w:val="32"/>
          <w:szCs w:val="32"/>
          <w14:textFill>
            <w14:solidFill>
              <w14:schemeClr w14:val="tx1"/>
            </w14:solidFill>
          </w14:textFill>
        </w:rPr>
        <w:t>得竞争方报告期内的财务数据，如申报板块明确同业竞争以构成重大不利影响为前提的，分析竞争方的同类收入或毛利占与发行人相关收入或毛利的比例关系（如是否达到</w:t>
      </w:r>
      <w:r>
        <w:rPr>
          <w:rFonts w:ascii="仿宋_GB2312" w:hAnsi="宋体" w:eastAsia="仿宋_GB2312"/>
          <w:color w:val="000000" w:themeColor="text1"/>
          <w:sz w:val="32"/>
          <w:szCs w:val="32"/>
          <w14:textFill>
            <w14:solidFill>
              <w14:schemeClr w14:val="tx1"/>
            </w14:solidFill>
          </w14:textFill>
        </w:rPr>
        <w:t>30%），分析竞争方与发行人的单价、毛利率的差异，核查竞争方收入的合理性和公允性。</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5、保荐人应取得发行人控股股东或实际控制人对避免同业竞争</w:t>
      </w:r>
      <w:r>
        <w:rPr>
          <w:rFonts w:hint="eastAsia" w:ascii="仿宋_GB2312" w:hAnsi="宋体" w:eastAsia="仿宋_GB2312"/>
          <w:color w:val="000000" w:themeColor="text1"/>
          <w:sz w:val="32"/>
          <w:szCs w:val="32"/>
          <w:lang w:eastAsia="zh-CN"/>
          <w14:textFill>
            <w14:solidFill>
              <w14:schemeClr w14:val="tx1"/>
            </w14:solidFill>
          </w14:textFill>
        </w:rPr>
        <w:t>作</w:t>
      </w:r>
      <w:r>
        <w:rPr>
          <w:rFonts w:ascii="仿宋_GB2312" w:hAnsi="宋体" w:eastAsia="仿宋_GB2312"/>
          <w:color w:val="000000" w:themeColor="text1"/>
          <w:sz w:val="32"/>
          <w:szCs w:val="32"/>
          <w14:textFill>
            <w14:solidFill>
              <w14:schemeClr w14:val="tx1"/>
            </w14:solidFill>
          </w14:textFill>
        </w:rPr>
        <w:t>出承诺。如存在同业竞争情形的，保荐人应取得发行人控股股东或实际控制人、竞争方就同业竞争情况的利益冲突解决方案及相关承诺。保荐人对相关承诺及同业竞争解决措施的合理性及可行性进行评估分析，是否有证据表明承诺不可履行、是否制定不能履约时的制约措施，关注报告期及报告期后的承诺履行情况，是否出现违反承诺或承诺无法有效履行的迹象。</w:t>
      </w:r>
    </w:p>
    <w:p>
      <w:pPr>
        <w:spacing w:line="360" w:lineRule="auto"/>
        <w:ind w:firstLine="640" w:firstLineChars="200"/>
        <w:outlineLvl w:val="2"/>
        <w:rPr>
          <w:rFonts w:ascii="仿宋_GB2312" w:hAnsi="宋体" w:eastAsia="仿宋_GB2312"/>
          <w:color w:val="000000"/>
          <w:sz w:val="32"/>
          <w:szCs w:val="32"/>
        </w:rPr>
      </w:pPr>
      <w:bookmarkStart w:id="107" w:name="_Toc105940639"/>
      <w:r>
        <w:rPr>
          <w:rFonts w:ascii="仿宋_GB2312" w:hAnsi="宋体" w:eastAsia="仿宋_GB2312"/>
          <w:color w:val="000000"/>
          <w:sz w:val="32"/>
          <w:szCs w:val="32"/>
        </w:rPr>
        <w:t xml:space="preserve">4.5.26  </w:t>
      </w:r>
      <w:r>
        <w:rPr>
          <w:rFonts w:hint="eastAsia" w:ascii="仿宋_GB2312" w:hAnsi="宋体" w:eastAsia="仿宋_GB2312"/>
          <w:color w:val="000000"/>
          <w:sz w:val="32"/>
          <w:szCs w:val="32"/>
        </w:rPr>
        <w:t>关联方及关联交易情况</w:t>
      </w:r>
      <w:bookmarkEnd w:id="107"/>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保荐人可通过与发行人的主要股东、董事、监事、高级管理人员访谈、获取调查问卷、查阅发行人及其控股股东或实际控制人的股权结构和组织结构、查阅发行人重要会议记录和重要合同、调档查阅关联方的工商登记资料、网络检索等方法，确认发行人的关联方及关联关系。</w:t>
      </w:r>
    </w:p>
    <w:p>
      <w:pPr>
        <w:spacing w:line="360" w:lineRule="auto"/>
        <w:ind w:firstLine="640" w:firstLineChars="200"/>
        <w:rPr>
          <w:rFonts w:ascii="仿宋_GB2312" w:hAnsi="宋体" w:eastAsia="仿宋_GB2312"/>
          <w:color w:val="000000" w:themeColor="text1"/>
          <w:sz w:val="32"/>
          <w:szCs w:val="32"/>
          <w:lang w:val="zh-CN"/>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2、保荐人根据《公司法》《证券法》《企业会计准则》、证监会及交易所颁布的法规的相关规定，结合发行人的实际</w:t>
      </w:r>
      <w:r>
        <w:rPr>
          <w:rFonts w:hint="eastAsia" w:ascii="仿宋_GB2312" w:hAnsi="宋体" w:eastAsia="仿宋_GB2312"/>
          <w:color w:val="000000" w:themeColor="text1"/>
          <w:sz w:val="32"/>
          <w:szCs w:val="32"/>
          <w14:textFill>
            <w14:solidFill>
              <w14:schemeClr w14:val="tx1"/>
            </w14:solidFill>
          </w14:textFill>
        </w:rPr>
        <w:t>情况，按照“实质重于形式原则”作为判断关联方的基本原则，确定发行人关联方的核查对象范围。</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关联方认定范围还应当包括在报告期内及报告期前后</w:t>
      </w:r>
      <w:r>
        <w:rPr>
          <w:rFonts w:ascii="仿宋_GB2312" w:hAnsi="宋体" w:eastAsia="仿宋_GB2312"/>
          <w:color w:val="000000" w:themeColor="text1"/>
          <w:sz w:val="32"/>
          <w:szCs w:val="32"/>
          <w14:textFill>
            <w14:solidFill>
              <w14:schemeClr w14:val="tx1"/>
            </w14:solidFill>
          </w14:textFill>
        </w:rPr>
        <w:t>12个月内与发行人存在本条所列示关系的法人或其他组织、自然人。</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3、保荐人可通过获取发行人主要客户、供应商的成立时间、注册资本、注册地址、股权结构、董监高人员等信息，并以访谈以及交叉信息比对等方式，调查发行人主要供应商、客户是否存在关联关系。</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4、报告期内存在由关联方变为非关联方的，</w:t>
      </w:r>
      <w:r>
        <w:rPr>
          <w:rFonts w:hint="eastAsia" w:ascii="仿宋_GB2312" w:hAnsi="宋体" w:eastAsia="仿宋_GB2312"/>
          <w:color w:val="000000" w:themeColor="text1"/>
          <w:sz w:val="32"/>
          <w:szCs w:val="32"/>
          <w14:textFill>
            <w14:solidFill>
              <w14:schemeClr w14:val="tx1"/>
            </w14:solidFill>
          </w14:textFill>
        </w:rPr>
        <w:t>建议审慎核查关联方非关联化的真实性、合理性、后续交易、以及相关资产、人员的去向情况，关注非关联方主体是否曾经或仍然存在重大违法违规行为、财务指标是否存在异常情况。与曾经的关联方持续发生的交易，与非正常业务关系单位或个人发生的偶发性或重大交易等，当予以重点关注，分析是否为虚构的交易、是否实质上是关联交易，调查交易背后是否还有其他安排。</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 5、保荐人</w:t>
      </w:r>
      <w:r>
        <w:rPr>
          <w:rFonts w:hint="eastAsia" w:ascii="仿宋_GB2312" w:hAnsi="宋体" w:eastAsia="仿宋_GB2312"/>
          <w:color w:val="000000" w:themeColor="text1"/>
          <w:sz w:val="32"/>
          <w:szCs w:val="32"/>
          <w14:textFill>
            <w14:solidFill>
              <w14:schemeClr w14:val="tx1"/>
            </w14:solidFill>
          </w14:textFill>
        </w:rPr>
        <w:t>可通过与发行人董监高人员、财务部门和主要业务部门负责人交谈，查阅账簿、相关合同、会议记录、独立董事意见，发函询证，咨询律师及注册会计师意见，查阅同类交易的市场价格数据等方法，从交易规模、交易规模变动趋势、关联交易必要性、关联交易公允性等方面对发行人独立性、盈利能力的影响、关联交易内控制度及实际执行情况等方面判断关联交易事项对发行审核的影响。除关注直接交易外，保荐人可适当关注主要关联方与发行人的主要供应商或客户是否存在交易，是否存在发生利益输送的间接交易行为。</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6、保荐人</w:t>
      </w:r>
      <w:r>
        <w:rPr>
          <w:rFonts w:hint="eastAsia" w:ascii="仿宋_GB2312" w:hAnsi="宋体" w:eastAsia="仿宋_GB2312"/>
          <w:color w:val="000000" w:themeColor="text1"/>
          <w:sz w:val="32"/>
          <w:szCs w:val="32"/>
          <w14:textFill>
            <w14:solidFill>
              <w14:schemeClr w14:val="tx1"/>
            </w14:solidFill>
          </w14:textFill>
        </w:rPr>
        <w:t>可通过获取与关联交易相关的管理制度和会议资料，判断是否按照公司章程或其他规定履行了必要的批准程序，决策过程是否与章程相符，关联股东或董事在审议相关交易时是否回避表决，独立董事对关联交易履行的审议程序的合法合规性及交易价格的公允性是否发表了明确意见，以及独立董事和监事会成员是否发表不同意见等。</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保荐人获取关联交易合同等交易资料，核查关联交易合同条款的履行情况，以及有无大额销售退回情况及其对发行人财务状况的影响；核查交易内容、交易金额、交易背景以及相关交易与发行人主营业务之间的关系是否合理；结合可比市场公允价格、第三方市场价格、关联方与其他交易方的价格等，关注市场交易价格或</w:t>
      </w:r>
      <w:r>
        <w:rPr>
          <w:rFonts w:hint="eastAsia" w:ascii="仿宋_GB2312" w:hAnsi="宋体" w:eastAsia="仿宋_GB2312"/>
          <w:color w:val="000000" w:themeColor="text1"/>
          <w:sz w:val="32"/>
          <w:szCs w:val="32"/>
          <w14:textFill>
            <w14:solidFill>
              <w14:schemeClr w14:val="tx1"/>
            </w14:solidFill>
          </w14:textFill>
        </w:rPr>
        <w:t>独立第三方价格是否有较大差异及其原因，是否存在明显属于单方获利性交易，是否存在利益输送情形。</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8、保荐人</w:t>
      </w:r>
      <w:r>
        <w:rPr>
          <w:rFonts w:hint="eastAsia" w:ascii="仿宋_GB2312" w:hAnsi="宋体" w:eastAsia="仿宋_GB2312"/>
          <w:color w:val="000000" w:themeColor="text1"/>
          <w:sz w:val="32"/>
          <w:szCs w:val="32"/>
          <w14:textFill>
            <w14:solidFill>
              <w14:schemeClr w14:val="tx1"/>
            </w14:solidFill>
          </w14:textFill>
        </w:rPr>
        <w:t>可通过核查向关联方销售占发行人主营业务收入的比例、向关联方采购额占发行人采购总额的比例，分析关联交易对发行人经营独立性的影响。对于购销商品、提供劳务等经常性关联交易，分析增减变化的原因及是否仍将持续进行，关注关联交易合同重要条款是否明确且具有可操作性以及是否切实得到履行；对于偶发性关联交易，分析对当期经营成果和主营业务的影响，关注交易价格、交易目的和实质，评价交易对发行人独立经营能力的影响。保荐人通过审核关联交易条款内容，分析交易是否令发行人获益，对比剔除关联交易或按独立第三方交易条款交易对发行人报告期的报表影响。</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鼓励就关联交易的利润占比、对发行人业绩的影响，进行严格的压力测试。</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9、保荐人</w:t>
      </w:r>
      <w:r>
        <w:rPr>
          <w:rFonts w:hint="eastAsia" w:ascii="仿宋_GB2312" w:hAnsi="宋体" w:eastAsia="仿宋_GB2312"/>
          <w:color w:val="000000" w:themeColor="text1"/>
          <w:sz w:val="32"/>
          <w:szCs w:val="32"/>
          <w14:textFill>
            <w14:solidFill>
              <w14:schemeClr w14:val="tx1"/>
            </w14:solidFill>
          </w14:textFill>
        </w:rPr>
        <w:t>通过分析关联交易产生的利润占发行人利润总额的比例是否较高，是否对发行人业绩的稳定性产生影响。计算关联方的应收、应付款项余额分别占发行人应收、应付款项余额的比例，获取发行人与关联方资金往来明细表等资料，关注关联交易的真实性和关联方应收款项的可收回性。保荐人可进一步复核发行人主要关联交易的会计处理是否符合企业会计准则的规定。</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10、</w:t>
      </w:r>
      <w:r>
        <w:rPr>
          <w:rFonts w:hint="eastAsia" w:ascii="仿宋_GB2312" w:hAnsi="宋体" w:eastAsia="仿宋_GB2312"/>
          <w:color w:val="000000" w:themeColor="text1"/>
          <w:sz w:val="32"/>
          <w:szCs w:val="32"/>
          <w14:textFill>
            <w14:solidFill>
              <w14:schemeClr w14:val="tx1"/>
            </w14:solidFill>
          </w14:textFill>
        </w:rPr>
        <w:t>对于发行人制定的未来减少、规范与控股股东、实际控制人之间发生关联交易的具体措施</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保荐人应关注控股股东、实际控制人</w:t>
      </w:r>
      <w:r>
        <w:rPr>
          <w:rFonts w:hint="eastAsia" w:ascii="仿宋_GB2312" w:hAnsi="宋体" w:eastAsia="仿宋_GB2312"/>
          <w:color w:val="000000" w:themeColor="text1"/>
          <w:sz w:val="32"/>
          <w:szCs w:val="32"/>
          <w:lang w:eastAsia="zh-CN"/>
          <w14:textFill>
            <w14:solidFill>
              <w14:schemeClr w14:val="tx1"/>
            </w14:solidFill>
          </w14:textFill>
        </w:rPr>
        <w:t>作</w:t>
      </w:r>
      <w:r>
        <w:rPr>
          <w:rFonts w:hint="eastAsia" w:ascii="仿宋_GB2312" w:hAnsi="宋体" w:eastAsia="仿宋_GB2312"/>
          <w:color w:val="000000" w:themeColor="text1"/>
          <w:sz w:val="32"/>
          <w:szCs w:val="32"/>
          <w14:textFill>
            <w14:solidFill>
              <w14:schemeClr w14:val="tx1"/>
            </w14:solidFill>
          </w14:textFill>
        </w:rPr>
        <w:t>出的承诺以及承诺的履行情况。</w:t>
      </w:r>
    </w:p>
    <w:p>
      <w:pPr>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、保荐人应关注重要人员离职后的去向，以及其控制、持股或担任重要职务的企业，核查相关企业与发行人是否存在利益输送或潜在关联关系。</w:t>
      </w:r>
    </w:p>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p>
    <w:p>
      <w:pPr>
        <w:pStyle w:val="33"/>
        <w:spacing w:before="0" w:after="0" w:line="360" w:lineRule="auto"/>
        <w:rPr>
          <w:rFonts w:ascii="仿宋_GB2312" w:hAnsi="宋体" w:eastAsia="仿宋_GB2312"/>
          <w:color w:val="000000" w:themeColor="text1"/>
          <w:sz w:val="32"/>
          <w14:textFill>
            <w14:solidFill>
              <w14:schemeClr w14:val="tx1"/>
            </w14:solidFill>
          </w14:textFill>
        </w:rPr>
      </w:pPr>
      <w:bookmarkStart w:id="108" w:name="_Toc105940640"/>
      <w:bookmarkStart w:id="109" w:name="_Toc76472374"/>
      <w:r>
        <w:rPr>
          <w:rFonts w:hint="eastAsia" w:ascii="仿宋_GB2312" w:hAnsi="宋体" w:eastAsia="仿宋_GB2312"/>
          <w:color w:val="000000" w:themeColor="text1"/>
          <w:sz w:val="32"/>
          <w14:textFill>
            <w14:solidFill>
              <w14:schemeClr w14:val="tx1"/>
            </w14:solidFill>
          </w14:textFill>
        </w:rPr>
        <w:t>第五章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持续督导阶段的尽职调查</w:t>
      </w:r>
      <w:bookmarkEnd w:id="108"/>
      <w:bookmarkEnd w:id="109"/>
    </w:p>
    <w:p>
      <w:pPr>
        <w:spacing w:line="360" w:lineRule="auto"/>
        <w:ind w:firstLine="640" w:firstLineChars="200"/>
        <w:outlineLvl w:val="2"/>
        <w:rPr>
          <w:rFonts w:ascii="仿宋_GB2312" w:hAnsi="宋体" w:eastAsia="仿宋_GB2312"/>
          <w:color w:val="000000"/>
          <w:sz w:val="32"/>
          <w:szCs w:val="32"/>
        </w:rPr>
      </w:pPr>
      <w:bookmarkStart w:id="110" w:name="_Toc76472375"/>
      <w:bookmarkStart w:id="111" w:name="_Toc105940641"/>
      <w:r>
        <w:rPr>
          <w:rFonts w:ascii="仿宋_GB2312" w:hAnsi="宋体" w:eastAsia="仿宋_GB2312"/>
          <w:color w:val="000000"/>
          <w:sz w:val="32"/>
          <w:szCs w:val="32"/>
        </w:rPr>
        <w:t xml:space="preserve">5.1  </w:t>
      </w:r>
      <w:r>
        <w:rPr>
          <w:rFonts w:hint="eastAsia" w:ascii="仿宋_GB2312" w:hAnsi="宋体" w:eastAsia="仿宋_GB2312"/>
          <w:color w:val="000000"/>
          <w:sz w:val="32"/>
          <w:szCs w:val="32"/>
        </w:rPr>
        <w:t>持续督导的基本原则</w:t>
      </w:r>
      <w:bookmarkEnd w:id="110"/>
      <w:bookmarkEnd w:id="111"/>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保荐人在发行人首次公开发行股票并上市和发行证券并上市后，应持续督导其履行规范运作、信守承诺、信息披露等义务、发表独立意见并对发现的问题督促发行人进行整改。</w:t>
      </w:r>
    </w:p>
    <w:p>
      <w:pPr>
        <w:spacing w:line="360" w:lineRule="auto"/>
        <w:ind w:firstLine="640" w:firstLineChars="200"/>
        <w:outlineLvl w:val="2"/>
        <w:rPr>
          <w:rFonts w:ascii="仿宋_GB2312" w:hAnsi="宋体" w:eastAsia="仿宋_GB2312"/>
          <w:color w:val="000000"/>
          <w:sz w:val="32"/>
          <w:szCs w:val="32"/>
        </w:rPr>
      </w:pPr>
      <w:bookmarkStart w:id="112" w:name="_Toc76472376"/>
      <w:bookmarkStart w:id="113" w:name="_Toc105940642"/>
      <w:r>
        <w:rPr>
          <w:rFonts w:ascii="仿宋_GB2312" w:hAnsi="宋体" w:eastAsia="仿宋_GB2312"/>
          <w:color w:val="000000"/>
          <w:sz w:val="32"/>
          <w:szCs w:val="32"/>
        </w:rPr>
        <w:t xml:space="preserve">5.2  </w:t>
      </w:r>
      <w:r>
        <w:rPr>
          <w:rFonts w:hint="eastAsia" w:ascii="仿宋_GB2312" w:hAnsi="宋体" w:eastAsia="仿宋_GB2312"/>
          <w:color w:val="000000"/>
          <w:sz w:val="32"/>
          <w:szCs w:val="32"/>
        </w:rPr>
        <w:t>持续督导期间</w:t>
      </w:r>
      <w:bookmarkEnd w:id="112"/>
      <w:bookmarkEnd w:id="113"/>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首次公开发行股票并在主板上市的，保荐人的持续督导期间为证券上市当年剩余时间及其后两个完整会计年度，</w:t>
      </w:r>
      <w:r>
        <w:rPr>
          <w:rFonts w:ascii="仿宋_GB2312" w:hAnsi="宋体" w:eastAsia="仿宋_GB2312"/>
          <w:color w:val="000000" w:themeColor="text1"/>
          <w:sz w:val="32"/>
          <w:szCs w:val="32"/>
          <w14:textFill>
            <w14:solidFill>
              <w14:schemeClr w14:val="tx1"/>
            </w14:solidFill>
          </w14:textFill>
        </w:rPr>
        <w:t>持续督导期间自证券上市之日起计算</w:t>
      </w:r>
      <w:r>
        <w:rPr>
          <w:rFonts w:hint="eastAsia" w:ascii="仿宋_GB2312" w:hAnsi="宋体" w:eastAsia="仿宋_GB2312"/>
          <w:color w:val="000000" w:themeColor="text1"/>
          <w:sz w:val="32"/>
          <w:szCs w:val="32"/>
          <w14:textFill>
            <w14:solidFill>
              <w14:schemeClr w14:val="tx1"/>
            </w14:solidFill>
          </w14:textFill>
        </w:rPr>
        <w:t>；主板</w:t>
      </w:r>
      <w:r>
        <w:rPr>
          <w:rFonts w:ascii="仿宋_GB2312" w:hAnsi="宋体" w:eastAsia="仿宋_GB2312"/>
          <w:color w:val="000000" w:themeColor="text1"/>
          <w:sz w:val="32"/>
          <w:szCs w:val="32"/>
          <w14:textFill>
            <w14:solidFill>
              <w14:schemeClr w14:val="tx1"/>
            </w14:solidFill>
          </w14:textFill>
        </w:rPr>
        <w:t>上市公司发行新股、可转换公司债券的，持续督导的期间为证券上市当年剩余时间及其后</w:t>
      </w:r>
      <w:r>
        <w:rPr>
          <w:rFonts w:hint="eastAsia" w:ascii="仿宋_GB2312" w:hAnsi="宋体" w:eastAsia="仿宋_GB2312"/>
          <w:color w:val="000000" w:themeColor="text1"/>
          <w:sz w:val="32"/>
          <w:szCs w:val="32"/>
          <w14:textFill>
            <w14:solidFill>
              <w14:schemeClr w14:val="tx1"/>
            </w14:solidFill>
          </w14:textFill>
        </w:rPr>
        <w:t>一</w:t>
      </w:r>
      <w:r>
        <w:rPr>
          <w:rFonts w:ascii="仿宋_GB2312" w:hAnsi="宋体" w:eastAsia="仿宋_GB2312"/>
          <w:color w:val="000000" w:themeColor="text1"/>
          <w:sz w:val="32"/>
          <w:szCs w:val="32"/>
          <w14:textFill>
            <w14:solidFill>
              <w14:schemeClr w14:val="tx1"/>
            </w14:solidFill>
          </w14:textFill>
        </w:rPr>
        <w:t>个完整会计年度。</w:t>
      </w:r>
      <w:r>
        <w:rPr>
          <w:rFonts w:hint="eastAsia" w:ascii="仿宋_GB2312" w:hAnsi="宋体" w:eastAsia="仿宋_GB2312"/>
          <w:color w:val="000000" w:themeColor="text1"/>
          <w:sz w:val="32"/>
          <w:szCs w:val="32"/>
          <w14:textFill>
            <w14:solidFill>
              <w14:schemeClr w14:val="tx1"/>
            </w14:solidFill>
          </w14:textFill>
        </w:rPr>
        <w:t>科创板、创业板首次公开发行股票并上市和向不特定合格投资者公开发行股票并在北交所上市以及上市公司发行新股、可转换公司债券的持续督导期间在主板的基础上分别延长一个完整的会计年度。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公司转板上市的，保荐人持续督导期间为公司股票在转板上市当年剩余时间及其后两个完整会计年度；转板公司提交转板上市申请时已在精选层挂牌满两年的，持续督导期间为公司股票转板上市当年剩余时间以及其后一个完整会计年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发行人上市后</w:t>
      </w:r>
      <w:r>
        <w:rPr>
          <w:rFonts w:ascii="仿宋_GB2312" w:hAnsi="宋体" w:eastAsia="仿宋_GB2312"/>
          <w:color w:val="000000" w:themeColor="text1"/>
          <w:sz w:val="32"/>
          <w:szCs w:val="32"/>
          <w14:textFill>
            <w14:solidFill>
              <w14:schemeClr w14:val="tx1"/>
            </w14:solidFill>
          </w14:textFill>
        </w:rPr>
        <w:t>持续督导过程中更换保荐人的，另行聘请保荐人</w:t>
      </w:r>
      <w:r>
        <w:rPr>
          <w:rFonts w:hint="eastAsia" w:ascii="仿宋_GB2312" w:hAnsi="宋体" w:eastAsia="仿宋_GB2312"/>
          <w:color w:val="000000" w:themeColor="text1"/>
          <w:sz w:val="32"/>
          <w:szCs w:val="32"/>
          <w14:textFill>
            <w14:solidFill>
              <w14:schemeClr w14:val="tx1"/>
            </w14:solidFill>
          </w14:textFill>
        </w:rPr>
        <w:t>应</w:t>
      </w:r>
      <w:r>
        <w:rPr>
          <w:rFonts w:ascii="仿宋_GB2312" w:hAnsi="宋体" w:eastAsia="仿宋_GB2312"/>
          <w:color w:val="000000" w:themeColor="text1"/>
          <w:sz w:val="32"/>
          <w:szCs w:val="32"/>
          <w14:textFill>
            <w14:solidFill>
              <w14:schemeClr w14:val="tx1"/>
            </w14:solidFill>
          </w14:textFill>
        </w:rPr>
        <w:t>接替原保荐人</w:t>
      </w:r>
      <w:r>
        <w:rPr>
          <w:rFonts w:hint="eastAsia" w:ascii="仿宋_GB2312" w:hAnsi="宋体" w:eastAsia="仿宋_GB2312"/>
          <w:color w:val="000000" w:themeColor="text1"/>
          <w:sz w:val="32"/>
          <w:szCs w:val="32"/>
          <w14:textFill>
            <w14:solidFill>
              <w14:schemeClr w14:val="tx1"/>
            </w14:solidFill>
          </w14:textFill>
        </w:rPr>
        <w:t>未</w:t>
      </w:r>
      <w:r>
        <w:rPr>
          <w:rFonts w:ascii="仿宋_GB2312" w:hAnsi="宋体" w:eastAsia="仿宋_GB2312"/>
          <w:color w:val="000000" w:themeColor="text1"/>
          <w:sz w:val="32"/>
          <w:szCs w:val="32"/>
          <w14:textFill>
            <w14:solidFill>
              <w14:schemeClr w14:val="tx1"/>
            </w14:solidFill>
          </w14:textFill>
        </w:rPr>
        <w:t>完成的持续督导工作。</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在信息披露、规范运作、公司治理、内部控制等方面存在重大缺陷或者违规行为，或者实际控制人、董事会、管理层发生重大变化等风险较大的公司，保荐人应当督促发行人解决相关问题或者消除相关风险。持续督导期届满，如有尚未完结的保荐工作，保荐人应当继续完成。</w:t>
      </w:r>
    </w:p>
    <w:p>
      <w:pPr>
        <w:spacing w:line="360" w:lineRule="auto"/>
        <w:ind w:firstLine="640" w:firstLineChars="200"/>
        <w:outlineLvl w:val="2"/>
        <w:rPr>
          <w:rFonts w:ascii="仿宋_GB2312" w:hAnsi="宋体" w:eastAsia="仿宋_GB2312"/>
          <w:color w:val="000000"/>
          <w:sz w:val="32"/>
          <w:szCs w:val="32"/>
        </w:rPr>
      </w:pPr>
      <w:bookmarkStart w:id="114" w:name="_Toc76472377"/>
      <w:bookmarkStart w:id="115" w:name="_Toc105940643"/>
      <w:r>
        <w:rPr>
          <w:rFonts w:ascii="仿宋_GB2312" w:hAnsi="宋体" w:eastAsia="仿宋_GB2312"/>
          <w:color w:val="000000"/>
          <w:sz w:val="32"/>
          <w:szCs w:val="32"/>
        </w:rPr>
        <w:t xml:space="preserve">5.3  </w:t>
      </w:r>
      <w:r>
        <w:rPr>
          <w:rFonts w:hint="eastAsia" w:ascii="仿宋_GB2312" w:hAnsi="宋体" w:eastAsia="仿宋_GB2312"/>
          <w:color w:val="000000"/>
          <w:sz w:val="32"/>
          <w:szCs w:val="32"/>
        </w:rPr>
        <w:t>保荐人履行持续督导的具体职责</w:t>
      </w:r>
      <w:bookmarkEnd w:id="114"/>
      <w:bookmarkEnd w:id="115"/>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根据上市板块的不同，保荐人需要履行的持续督导的具体职责有一定的差异。保荐人需要在持续督导期间按照上海证券交易所、深圳证券交易所和北京证券交易所的不同要求，按时报送持续督导相关工作报告。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保荐人年度持续督导底稿中应当包括出具的核查意见、年度持续督导意见、定期现场检查报告的相关底稿。</w:t>
      </w:r>
    </w:p>
    <w:p>
      <w:pPr>
        <w:spacing w:line="360" w:lineRule="auto"/>
        <w:ind w:firstLine="640" w:firstLineChars="200"/>
        <w:outlineLvl w:val="2"/>
        <w:rPr>
          <w:rFonts w:ascii="仿宋_GB2312" w:hAnsi="宋体" w:eastAsia="仿宋_GB2312"/>
          <w:color w:val="000000"/>
          <w:sz w:val="32"/>
          <w:szCs w:val="32"/>
        </w:rPr>
      </w:pPr>
      <w:bookmarkStart w:id="116" w:name="_Toc105940644"/>
      <w:bookmarkStart w:id="117" w:name="_Toc1970093760"/>
      <w:r>
        <w:rPr>
          <w:rFonts w:ascii="仿宋_GB2312" w:hAnsi="宋体" w:eastAsia="仿宋_GB2312"/>
          <w:color w:val="000000"/>
          <w:sz w:val="32"/>
          <w:szCs w:val="32"/>
        </w:rPr>
        <w:t xml:space="preserve">5.3.1  </w:t>
      </w:r>
      <w:r>
        <w:rPr>
          <w:rFonts w:hint="eastAsia" w:ascii="仿宋_GB2312" w:hAnsi="宋体" w:eastAsia="仿宋_GB2312"/>
          <w:color w:val="000000"/>
          <w:sz w:val="32"/>
          <w:szCs w:val="32"/>
        </w:rPr>
        <w:t>主板首次公开发行股票并上市和上市公司发行证券的持续督导工作内容</w:t>
      </w:r>
      <w:bookmarkEnd w:id="116"/>
      <w:bookmarkEnd w:id="117"/>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1、督导发行人建立健全并有效执行公司治理制度、内控制度、信息披露制度。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2、主动、持续关注发行人及相关各方是否存在以下事项，并采取相应督导措施。</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1）发行人及相关信息披露义务人是否存在交易所相关上市规则规定的应披露而未披露的事项，对上市公司及相关信息披露义务人未履行信息披露义务的，应当督促其及时履行信息披露义务。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2）关注并督促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及控股股东、实际控制人等切实履行承诺，对</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及控股股东、实际控制人等未履行承诺事项的，应当督促相关当事人制定整改计划并及时履行信息披露义务。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3）如果发现</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存在应披露未披露的事项或者与披露不符的事实，应当及时督促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如实披露或者澄清。</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4）发行人或者其控股股东、实际控制人、董事、监事、高级管理人员受到中国证监会行政处罚或者证券交易所纪律处分的，重点关注违规事项相关的内部控制制度、违规事项持续状况及解决措施。</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3、按照与发行人及发行人存放募集资金的商业银行签订的募集资金三方监管协议的要求，做好公司募集资金使用的督导和检查工作。</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4、对</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募集资金使用情况、关联交易的公允性和合规性、对外担保</w:t>
      </w:r>
      <w:r>
        <w:rPr>
          <w:rFonts w:hint="eastAsia" w:ascii="仿宋_GB2312" w:hAnsi="宋体" w:eastAsia="仿宋_GB2312"/>
          <w:color w:val="000000" w:themeColor="text1"/>
          <w:sz w:val="32"/>
          <w:szCs w:val="32"/>
          <w14:textFill>
            <w14:solidFill>
              <w14:schemeClr w14:val="tx1"/>
            </w14:solidFill>
          </w14:textFill>
        </w:rPr>
        <w:t>、提供财务资助</w:t>
      </w:r>
      <w:r>
        <w:rPr>
          <w:rFonts w:ascii="仿宋_GB2312" w:hAnsi="宋体" w:eastAsia="仿宋_GB2312"/>
          <w:color w:val="000000" w:themeColor="text1"/>
          <w:sz w:val="32"/>
          <w:szCs w:val="32"/>
          <w14:textFill>
            <w14:solidFill>
              <w14:schemeClr w14:val="tx1"/>
            </w14:solidFill>
          </w14:textFill>
        </w:rPr>
        <w:t>的合规性以及委托理财、证券投资、套期保值业务的合规性和安全性</w:t>
      </w:r>
      <w:r>
        <w:rPr>
          <w:rFonts w:hint="eastAsia" w:ascii="仿宋_GB2312" w:hAnsi="宋体" w:eastAsia="仿宋_GB2312"/>
          <w:color w:val="000000" w:themeColor="text1"/>
          <w:sz w:val="32"/>
          <w:szCs w:val="32"/>
          <w14:textFill>
            <w14:solidFill>
              <w14:schemeClr w14:val="tx1"/>
            </w14:solidFill>
          </w14:textFill>
        </w:rPr>
        <w:t>、签署满足标准的重大合同</w:t>
      </w:r>
      <w:r>
        <w:rPr>
          <w:rFonts w:ascii="仿宋_GB2312" w:hAnsi="宋体" w:eastAsia="仿宋_GB2312"/>
          <w:color w:val="000000" w:themeColor="text1"/>
          <w:sz w:val="32"/>
          <w:szCs w:val="32"/>
          <w14:textFill>
            <w14:solidFill>
              <w14:schemeClr w14:val="tx1"/>
            </w14:solidFill>
          </w14:textFill>
        </w:rPr>
        <w:t>等相关事项进行检查，并</w:t>
      </w:r>
      <w:r>
        <w:rPr>
          <w:rFonts w:hint="eastAsia" w:ascii="仿宋_GB2312" w:hAnsi="宋体" w:eastAsia="仿宋_GB2312"/>
          <w:color w:val="000000" w:themeColor="text1"/>
          <w:sz w:val="32"/>
          <w:szCs w:val="32"/>
          <w14:textFill>
            <w14:solidFill>
              <w14:schemeClr w14:val="tx1"/>
            </w14:solidFill>
          </w14:textFill>
        </w:rPr>
        <w:t>按照交易所的规定</w:t>
      </w:r>
      <w:r>
        <w:rPr>
          <w:rFonts w:ascii="仿宋_GB2312" w:hAnsi="宋体" w:eastAsia="仿宋_GB2312"/>
          <w:color w:val="000000" w:themeColor="text1"/>
          <w:sz w:val="32"/>
          <w:szCs w:val="32"/>
          <w14:textFill>
            <w14:solidFill>
              <w14:schemeClr w14:val="tx1"/>
            </w14:solidFill>
          </w14:textFill>
        </w:rPr>
        <w:t>及时</w:t>
      </w:r>
      <w:r>
        <w:rPr>
          <w:rFonts w:hint="eastAsia" w:ascii="仿宋_GB2312" w:hAnsi="宋体" w:eastAsia="仿宋_GB2312"/>
          <w:color w:val="000000" w:themeColor="text1"/>
          <w:sz w:val="32"/>
          <w:szCs w:val="32"/>
          <w14:textFill>
            <w14:solidFill>
              <w14:schemeClr w14:val="tx1"/>
            </w14:solidFill>
          </w14:textFill>
        </w:rPr>
        <w:t>关注、检查或</w:t>
      </w:r>
      <w:r>
        <w:rPr>
          <w:rFonts w:ascii="仿宋_GB2312" w:hAnsi="宋体" w:eastAsia="仿宋_GB2312"/>
          <w:color w:val="000000" w:themeColor="text1"/>
          <w:sz w:val="32"/>
          <w:szCs w:val="32"/>
          <w14:textFill>
            <w14:solidFill>
              <w14:schemeClr w14:val="tx1"/>
            </w14:solidFill>
          </w14:textFill>
        </w:rPr>
        <w:t>发表独立意见。</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5、在持续督导期间，保荐代表人及持续督导人员应对</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进行定期或不定期的现场检查。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、在会计年度结束内规定时间出具年度持续督导报告、保荐总结报告书。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w:t>
      </w:r>
      <w:r>
        <w:rPr>
          <w:rFonts w:hint="eastAsia" w:ascii="仿宋_GB2312" w:hAnsi="宋体" w:eastAsia="仿宋_GB2312"/>
          <w:color w:val="000000" w:themeColor="text1"/>
          <w:sz w:val="32"/>
          <w:szCs w:val="32"/>
          <w14:textFill>
            <w14:solidFill>
              <w14:schemeClr w14:val="tx1"/>
            </w14:solidFill>
          </w14:textFill>
        </w:rPr>
        <w:t>、对发行人在持续督导期间出现下述情形的，</w:t>
      </w:r>
      <w:r>
        <w:rPr>
          <w:rFonts w:ascii="仿宋_GB2312" w:hAnsi="宋体" w:eastAsia="仿宋_GB2312"/>
          <w:color w:val="000000" w:themeColor="text1"/>
          <w:sz w:val="32"/>
          <w:szCs w:val="32"/>
          <w14:textFill>
            <w14:solidFill>
              <w14:schemeClr w14:val="tx1"/>
            </w14:solidFill>
          </w14:textFill>
        </w:rPr>
        <w:t>保荐</w:t>
      </w:r>
      <w:r>
        <w:rPr>
          <w:rFonts w:hint="eastAsia" w:ascii="仿宋_GB2312" w:hAnsi="宋体" w:eastAsia="仿宋_GB2312"/>
          <w:color w:val="000000" w:themeColor="text1"/>
          <w:sz w:val="32"/>
          <w:szCs w:val="32"/>
          <w14:textFill>
            <w14:solidFill>
              <w14:schemeClr w14:val="tx1"/>
            </w14:solidFill>
          </w14:textFill>
        </w:rPr>
        <w:t>人</w:t>
      </w:r>
      <w:r>
        <w:rPr>
          <w:rFonts w:ascii="仿宋_GB2312" w:hAnsi="宋体" w:eastAsia="仿宋_GB2312"/>
          <w:color w:val="000000" w:themeColor="text1"/>
          <w:sz w:val="32"/>
          <w:szCs w:val="32"/>
          <w14:textFill>
            <w14:solidFill>
              <w14:schemeClr w14:val="tx1"/>
            </w14:solidFill>
          </w14:textFill>
        </w:rPr>
        <w:t>应当督促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做出说明并限期纠正，情节严重的，应向中国证监会、证券交易所报告：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1）发行人可能存在违反上市规则等交易所相关业务规则的行为；</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2）证券服务机构及其签名人员出具的专业意见可能存在虚假记载、误导性陈述或者重大遗漏等违法违规情形或者其他不当情形；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3）持续督导期间上市公司发生《证券发行上市保荐业务管理办法》</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2020年修订）</w:t>
      </w:r>
      <w:r>
        <w:rPr>
          <w:rFonts w:hint="eastAsia" w:ascii="仿宋_GB2312" w:hAnsi="宋体" w:eastAsia="仿宋_GB2312"/>
          <w:color w:val="000000" w:themeColor="text1"/>
          <w:sz w:val="32"/>
          <w:szCs w:val="32"/>
          <w14:textFill>
            <w14:solidFill>
              <w14:schemeClr w14:val="tx1"/>
            </w14:solidFill>
          </w14:textFill>
        </w:rPr>
        <w:t>第七十二条规定的情形；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4）在发行人信息披露文件审阅中，保荐人和保荐代表人发现上市公司存在违法违规行为或者上市公司存在重大风险；</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其他认为必要的情形。</w:t>
      </w:r>
    </w:p>
    <w:p>
      <w:pPr>
        <w:spacing w:line="360" w:lineRule="auto"/>
        <w:ind w:firstLine="640" w:firstLineChars="200"/>
        <w:outlineLvl w:val="2"/>
        <w:rPr>
          <w:rFonts w:ascii="仿宋_GB2312" w:hAnsi="宋体" w:eastAsia="仿宋_GB2312"/>
          <w:color w:val="000000"/>
          <w:sz w:val="32"/>
          <w:szCs w:val="32"/>
        </w:rPr>
      </w:pPr>
      <w:bookmarkStart w:id="118" w:name="_Toc105940645"/>
      <w:bookmarkStart w:id="119" w:name="_Toc1718991588"/>
      <w:r>
        <w:rPr>
          <w:rFonts w:ascii="仿宋_GB2312" w:hAnsi="宋体" w:eastAsia="仿宋_GB2312"/>
          <w:color w:val="000000"/>
          <w:sz w:val="32"/>
          <w:szCs w:val="32"/>
        </w:rPr>
        <w:t xml:space="preserve">5.3.2 </w:t>
      </w:r>
      <w:r>
        <w:rPr>
          <w:rFonts w:hint="eastAsia" w:ascii="仿宋_GB2312" w:hAnsi="宋体" w:eastAsia="仿宋_GB2312"/>
          <w:color w:val="000000"/>
          <w:sz w:val="32"/>
          <w:szCs w:val="32"/>
        </w:rPr>
        <w:t>科创板首次公开发行股票并上市和上市公司发行证券的持续督导工作内容</w:t>
      </w:r>
      <w:bookmarkEnd w:id="118"/>
      <w:bookmarkEnd w:id="119"/>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1、督促上市公司建立健全并有效执行信息披露、规范运作、承诺履行、分红回报等制度，并确保发行人及其控股股东、实际控制人、董事、监事和高级管理人员、核心技术人员</w:t>
      </w:r>
      <w:r>
        <w:rPr>
          <w:rFonts w:hint="eastAsia" w:ascii="仿宋_GB2312" w:hAnsi="宋体" w:eastAsia="仿宋_GB2312"/>
          <w:color w:val="000000" w:themeColor="text1"/>
          <w:sz w:val="32"/>
          <w:szCs w:val="32"/>
          <w14:textFill>
            <w14:solidFill>
              <w14:schemeClr w14:val="tx1"/>
            </w14:solidFill>
          </w14:textFill>
        </w:rPr>
        <w:t>知晓其需履行的各项义务。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2、持续督促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充分披露投资者</w:t>
      </w:r>
      <w:r>
        <w:rPr>
          <w:rFonts w:hint="eastAsia" w:ascii="仿宋_GB2312" w:hAnsi="宋体" w:eastAsia="仿宋_GB2312"/>
          <w:color w:val="000000" w:themeColor="text1"/>
          <w:sz w:val="32"/>
          <w:szCs w:val="32"/>
          <w:lang w:eastAsia="zh-CN"/>
          <w14:textFill>
            <w14:solidFill>
              <w14:schemeClr w14:val="tx1"/>
            </w14:solidFill>
          </w14:textFill>
        </w:rPr>
        <w:t>做</w:t>
      </w:r>
      <w:r>
        <w:rPr>
          <w:rFonts w:ascii="仿宋_GB2312" w:hAnsi="宋体" w:eastAsia="仿宋_GB2312"/>
          <w:color w:val="000000" w:themeColor="text1"/>
          <w:sz w:val="32"/>
          <w:szCs w:val="32"/>
          <w14:textFill>
            <w14:solidFill>
              <w14:schemeClr w14:val="tx1"/>
            </w14:solidFill>
          </w14:textFill>
        </w:rPr>
        <w:t>出价值判断和投资决策所必需的信息；对</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制作信息披露公告文件提供必要的指导和协助，确保其信息披露内容简明易懂，语言浅白平实，具有可理解性；督促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控股股东、实际控制人履行信息披露义务，告知并督促其不得要求或者协助</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隐瞒重要信息。</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或其控股股东、实际控制人对承诺事项的具体内容、履约方式及时间、履约能力分析、履约风险及对策、不能履约时的救济措施等方面进行充分信息披露；持续跟进相关主体履行承诺的进展情况，督促相关主体及时、充分履行承诺；</w:t>
      </w:r>
      <w:r>
        <w:rPr>
          <w:rFonts w:hint="eastAsia" w:ascii="仿宋_GB2312" w:hAnsi="宋体" w:eastAsia="仿宋_GB2312"/>
          <w:color w:val="000000" w:themeColor="text1"/>
          <w:sz w:val="32"/>
          <w:szCs w:val="32"/>
          <w14:textFill>
            <w14:solidFill>
              <w14:schemeClr w14:val="tx1"/>
            </w14:solidFill>
          </w14:textFill>
        </w:rPr>
        <w:t>发行人或其控股股东、实际控制人</w:t>
      </w:r>
      <w:r>
        <w:rPr>
          <w:rFonts w:ascii="仿宋_GB2312" w:hAnsi="宋体" w:eastAsia="仿宋_GB2312"/>
          <w:color w:val="000000" w:themeColor="text1"/>
          <w:sz w:val="32"/>
          <w:szCs w:val="32"/>
          <w14:textFill>
            <w14:solidFill>
              <w14:schemeClr w14:val="tx1"/>
            </w14:solidFill>
          </w14:textFill>
        </w:rPr>
        <w:t>披露、履行或者变更承诺事项，不符合规定的，应当及时提出督导意见，并督促相关主体进行补正。</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督促控股股东、实际控制人、董事、监事、高级管理人员及核心技术人员履行其作出的股份减持承诺，关注前述主体减持公司股份是否合规、对上市公司的影响等情况。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积极回报投资者，建立健全并有效执行符合公司发展阶段的现金分红和股份回购制度。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5、持续关注</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运作，对</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及其业务有充分了解；通过日常沟通、定期回访、调阅资料、列席股东大会等方式，关注</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日常经营和股票交易情况，有效识别并督促</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披露重大风险或者重大负面事项。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6、识别并督促发行人披露对公司持续经营能力、核心竞争力或者控制权稳定有重大不利影响的风险或者负面事项，并发表意见。</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1）发行人日常经营出现下列情形的，应当就相关事项对公司经营的影响以及是否存在其他未披露重大风险发表意见并披露：</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1）主要业务停滞或出现可能导致主要业务停滞的重大风险事件；</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2）资产被查封、扣押或冻结；</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3）未能清偿到期债务；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4）实际控制人、董事长、总经理、财务负责人或核心技术人员涉嫌犯罪被司法机关采取强制措施；</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5）涉及关联交易、为他人提供担保等重大事项；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6）交易所或者保荐人认为应当发表意见的其他情形。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2）发行人业务和技术出现下列情形的，应当就相关事项对公司核心竞争力和日常经营的影响，以及是否存在其他未披露重大风险发表意见并披露：</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1）主要原材料供应或者产品销售出现重大不利变化；</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2）核心技术人员离职；</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3）核心知识产权、特许经营权或者核心技术许可丧失、不能续期或者出现重大纠纷；</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4）主要产品研发失败；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5）核心竞争力丧失竞争优势或者市场出现具有明显优势的竞争者；</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6）交易所或者保荐人认为应当发表意见的其他情形。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3）控股股东、实际控制人及其一致行动人出现下列情形的，应当就相关事项对</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控制权稳定和日常经营的影响、是否存在侵害</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利益的情形以及其他未披露重大风险发表意见并披露：</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1）所持</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股份被司法冻结；</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2）质押</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股份比例超过所持股份80%或者被强制平仓的；</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3）交易所或者保荐人认为应当发表意见的其他情形。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7、关注发行人股票交易异常波动情况，督促发行人按照本规则规定履行核查、信息披露等义务。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8、对发行人存在的可能严重影响公司或者投资者合法权益的事项开展专项核查，并出具现场核查报告；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发行人出现下列情形之一的，应当自知道或者应当知道之日起十五日内进行专项现场核查：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1）存在重大财务造假嫌疑；</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2）控股股东、实际控制人、董事、监事或者高级管理人员涉嫌侵占上市公司利益；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3）可能存在重大违规担保；</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4）资金往来或者现金流存在重大异常；</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5）交易所或者保荐人认为应当进行现场核查的其他事项。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进行现场核查的，应当就核查情况、提请上市公司及投资者关注的问题、本次现场核查结论等事项出具现场核查报告，并在现场核查结束后十五个交易日内披露。</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9、定期出具并披露持续督导跟踪报告，发行人未实现盈利、业绩由盈转亏、营业收入与上年同期相比下降50%以上或者其他主要财务指标异常的，应当在持续督导跟踪报告显著位置就上市公司是否存在重大风险发表结论性意见。</w:t>
      </w:r>
    </w:p>
    <w:p>
      <w:pPr>
        <w:spacing w:line="360" w:lineRule="auto"/>
        <w:ind w:firstLine="640" w:firstLineChars="200"/>
        <w:outlineLvl w:val="2"/>
        <w:rPr>
          <w:rFonts w:ascii="仿宋_GB2312" w:hAnsi="宋体" w:eastAsia="仿宋_GB2312"/>
          <w:color w:val="000000"/>
          <w:sz w:val="32"/>
          <w:szCs w:val="32"/>
        </w:rPr>
      </w:pPr>
      <w:bookmarkStart w:id="120" w:name="_Toc1175600327"/>
      <w:bookmarkStart w:id="121" w:name="_Toc105940646"/>
      <w:r>
        <w:rPr>
          <w:rFonts w:ascii="仿宋_GB2312" w:hAnsi="宋体" w:eastAsia="仿宋_GB2312"/>
          <w:color w:val="000000"/>
          <w:sz w:val="32"/>
          <w:szCs w:val="32"/>
        </w:rPr>
        <w:t>5.3.3创业</w:t>
      </w:r>
      <w:r>
        <w:rPr>
          <w:rFonts w:hint="eastAsia" w:ascii="仿宋_GB2312" w:hAnsi="宋体" w:eastAsia="仿宋_GB2312"/>
          <w:color w:val="000000"/>
          <w:sz w:val="32"/>
          <w:szCs w:val="32"/>
        </w:rPr>
        <w:t>板首次公开发行股票并上市和上市公司发行证券的持续督导工作内容</w:t>
      </w:r>
      <w:bookmarkEnd w:id="120"/>
      <w:bookmarkEnd w:id="121"/>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督导上市公司建立健全并有效执行公司治理制度、财务内控制度和信息披露制度，以及督导上市公司按照本规则的规定履行信息披露及其他相关义务，审阅信息披露文件及其他相关文件，并保证制作、出具的文件真实、准确、完整，没有虚假记载、误导性陈述或者重大遗漏。</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督导上市公司的控股股东、实际控制人、董事、监事和高级管理人员遵守交易所其他相关规定，并履行其所作出的承诺。</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在上市公司向</w:t>
      </w:r>
      <w:r>
        <w:rPr>
          <w:rFonts w:hint="eastAsia" w:ascii="仿宋_GB2312" w:hAnsi="宋体" w:eastAsia="仿宋_GB2312"/>
          <w:sz w:val="32"/>
          <w:szCs w:val="32"/>
          <w:lang w:eastAsia="zh-CN"/>
        </w:rPr>
        <w:t>深交所</w:t>
      </w:r>
      <w:r>
        <w:rPr>
          <w:rFonts w:hint="eastAsia" w:ascii="仿宋_GB2312" w:hAnsi="宋体" w:eastAsia="仿宋_GB2312"/>
          <w:sz w:val="32"/>
          <w:szCs w:val="32"/>
        </w:rPr>
        <w:t>报送信息披露文件及其他文件，或者履行信息披露义务后，完成对有关文件的审阅工作。发现信息披露文件存在问题的，应当及时督促公司更正或者补充。</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3、上市公司临时报告披露的信息涉及募集资金、关联交易、委托理财、</w:t>
      </w:r>
      <w:r>
        <w:rPr>
          <w:rFonts w:hint="eastAsia" w:ascii="仿宋_GB2312" w:hAnsi="宋体" w:eastAsia="仿宋_GB2312"/>
          <w:sz w:val="32"/>
          <w:szCs w:val="32"/>
        </w:rPr>
        <w:t>提供担保、对外提供财务资助等重大事项的，保荐人应当按照中国证监会和深交所所相关规定发表意见。</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4、在持续督导期间应当对上市公司特别表决权事项履行持续督导义务，发现股东存在滥用特别表决权或者其他损害投资者合法权益情形时，应当及时督促相关股东改正，并向交易所报告。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5、上市公司股票出现严重异常波动情形的，保荐人和保荐代表人应当督促上市公司按照规定及时进行核查，履行相应信息披露义务。公司或相关信息披露义务人应当核查下列事项：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1）是否存在导致股票交易严重异常波动的未披露事项；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2）股价是否严重偏离同行业上市公司合理估值；</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3）是否存在重大风险事项；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4）其他可能导致股票交易严重异常波动的事项。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6、识别并督促发行人披露对公司持续经营能力、核心</w:t>
      </w:r>
      <w:r>
        <w:rPr>
          <w:rFonts w:hint="eastAsia" w:ascii="仿宋_GB2312" w:hAnsi="宋体" w:eastAsia="仿宋_GB2312"/>
          <w:color w:val="000000" w:themeColor="text1"/>
          <w:sz w:val="32"/>
          <w:szCs w:val="32"/>
          <w14:textFill>
            <w14:solidFill>
              <w14:schemeClr w14:val="tx1"/>
            </w14:solidFill>
          </w14:textFill>
        </w:rPr>
        <w:t>竞争力或者控制权稳定有重大不利影响的风险或者负面事项，并发表意见。</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1）上市公司日常经营出现以下情形的，保荐人应当就相关事项对公司日常经营的影响以及是否存在其他未披露重大风险发表意见并披露：</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1）主要业务停滞或者出现可能导致主要业务停滞的重大风险事件；</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2）主要资产被查封、扣押或冻结；</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3）未清偿到期重大债务；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4）控股股东、实际控制人、董事、监事或者高级管理人员涉嫌犯罪被司法机关采取强制措施；</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5）交易所或者保荐人认为应当发表意见的其他情形。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2）发行人出现下列使公司的核心竞争力面临重大风险情形的，保荐人应当就相关事项对公司核心竞争力和日常经营的影响以及是否存在其他未披露重大风险发表意见并披露：</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1）公司核心技术团队或者关键技术人员等对公司核心竞争力有重大影响的人员辞职或者发生较大变动；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2）公司在用的核心商标、专利、专有技术、特许经营权等重要资产或者核心技术许可到期、出现重大纠纷、被限制使用或者发生其他重大不利变化；</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3）主要产品、核心技术、关键设备、经营模式等面临</w:t>
      </w:r>
      <w:r>
        <w:rPr>
          <w:rFonts w:hint="eastAsia" w:ascii="仿宋_GB2312" w:hAnsi="宋体" w:eastAsia="仿宋_GB2312"/>
          <w:color w:val="000000" w:themeColor="text1"/>
          <w:sz w:val="32"/>
          <w:szCs w:val="32"/>
          <w14:textFill>
            <w14:solidFill>
              <w14:schemeClr w14:val="tx1"/>
            </w14:solidFill>
          </w14:textFill>
        </w:rPr>
        <w:t>被替代或者被淘汰的风险；</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4）重要研发项目研发失败、终止、未获有关部门批准，或者公司放弃对重要核心技术项目的继续投资或者控制权</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w:t>
      </w:r>
      <w:r>
        <w:rPr>
          <w:rFonts w:hint="eastAsia" w:ascii="仿宋_GB2312" w:hAnsi="宋体" w:eastAsia="仿宋_GB2312"/>
          <w:color w:val="000000" w:themeColor="text1"/>
          <w:sz w:val="32"/>
          <w:szCs w:val="32"/>
          <w14:textFill>
            <w14:solidFill>
              <w14:schemeClr w14:val="tx1"/>
            </w14:solidFill>
          </w14:textFill>
        </w:rPr>
        <w:t>、上市公司出现下列情形之一的，保荐人和保荐代表人应当在知悉或者理应知悉之日起十五日内进行专项现场核查：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1）存在重大财务造假嫌疑；</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2）控股股东、实际控制人、董事、监事或者高级管理人员涉嫌侵占上市公司利益；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3）可能存在重大违规担保；</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4）资金往来或者现金流存在重大异常；</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5）交易所或者保荐人认为应当进行现场核查的其他事项。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保荐人应当对上市公司进行必要的现场检查，以保证所发表的意见不存在虚假记载、误导性陈述或者重大遗漏。</w:t>
      </w:r>
      <w:r>
        <w:rPr>
          <w:rFonts w:ascii="仿宋_GB2312" w:hAnsi="宋体" w:eastAsia="仿宋_GB2312"/>
          <w:color w:val="000000" w:themeColor="text1"/>
          <w:sz w:val="32"/>
          <w:szCs w:val="32"/>
          <w14:textFill>
            <w14:solidFill>
              <w14:schemeClr w14:val="tx1"/>
            </w14:solidFill>
          </w14:textFill>
        </w:rPr>
        <w:cr/>
      </w:r>
      <w:r>
        <w:rPr>
          <w:rFonts w:hint="eastAsia" w:ascii="仿宋_GB2312" w:hAnsi="宋体" w:eastAsia="仿宋_GB2312"/>
          <w:color w:val="000000" w:themeColor="text1"/>
          <w:sz w:val="32"/>
          <w:szCs w:val="32"/>
          <w14:textFill>
            <w14:solidFill>
              <w14:schemeClr w14:val="tx1"/>
            </w14:solidFill>
          </w14:textFill>
        </w:rPr>
        <w:t>保荐人进行现场核查的，应当告知上市公司现场核查结果及提请公司注意的事项，并在现场核查结束后十个交易日内披露现场核查报告。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8</w:t>
      </w:r>
      <w:r>
        <w:rPr>
          <w:rFonts w:hint="eastAsia" w:ascii="仿宋_GB2312" w:hAnsi="宋体" w:eastAsia="仿宋_GB2312"/>
          <w:color w:val="000000" w:themeColor="text1"/>
          <w:sz w:val="32"/>
          <w:szCs w:val="32"/>
          <w14:textFill>
            <w14:solidFill>
              <w14:schemeClr w14:val="tx1"/>
            </w14:solidFill>
          </w14:textFill>
        </w:rPr>
        <w:t>、自上市公司披露年度报告、半年度报告后十五个交易日内按照中国证监会和</w:t>
      </w:r>
      <w:r>
        <w:rPr>
          <w:rFonts w:hint="eastAsia" w:ascii="仿宋_GB2312" w:hAnsi="宋体" w:eastAsia="仿宋_GB2312"/>
          <w:color w:val="000000" w:themeColor="text1"/>
          <w:sz w:val="32"/>
          <w:szCs w:val="32"/>
          <w:lang w:eastAsia="zh-CN"/>
          <w14:textFill>
            <w14:solidFill>
              <w14:schemeClr w14:val="tx1"/>
            </w14:solidFill>
          </w14:textFill>
        </w:rPr>
        <w:t>深交</w:t>
      </w:r>
      <w:r>
        <w:rPr>
          <w:rFonts w:hint="eastAsia" w:ascii="仿宋_GB2312" w:hAnsi="宋体" w:eastAsia="仿宋_GB2312"/>
          <w:color w:val="000000" w:themeColor="text1"/>
          <w:sz w:val="32"/>
          <w:szCs w:val="32"/>
          <w14:textFill>
            <w14:solidFill>
              <w14:schemeClr w14:val="tx1"/>
            </w14:solidFill>
          </w14:textFill>
        </w:rPr>
        <w:t>所相关规定在符合条件媒体披露跟踪报告。持续督导工作结束后，保荐人应当在上市公司年度报告披露之日起的十个交易日内披露保荐总结报告书。持续督导期届满，上市公司募集资金尚未使用完毕的，保荐人应继续履行募集资金相关的持续督导职责，如有其他尚未完结的保荐工作，保荐人应当继续完成。</w:t>
      </w:r>
    </w:p>
    <w:p>
      <w:pPr>
        <w:spacing w:line="360" w:lineRule="auto"/>
        <w:ind w:firstLine="640" w:firstLineChars="200"/>
        <w:outlineLvl w:val="2"/>
        <w:rPr>
          <w:rFonts w:ascii="仿宋_GB2312" w:hAnsi="宋体" w:eastAsia="仿宋_GB2312"/>
          <w:color w:val="000000"/>
          <w:sz w:val="32"/>
          <w:szCs w:val="32"/>
        </w:rPr>
      </w:pPr>
      <w:bookmarkStart w:id="122" w:name="_Toc926518684"/>
      <w:bookmarkStart w:id="123" w:name="_Toc105940647"/>
      <w:r>
        <w:rPr>
          <w:rFonts w:ascii="仿宋_GB2312" w:hAnsi="宋体" w:eastAsia="仿宋_GB2312"/>
          <w:color w:val="000000"/>
          <w:sz w:val="32"/>
          <w:szCs w:val="32"/>
        </w:rPr>
        <w:t>5.3.4</w:t>
      </w:r>
      <w:r>
        <w:rPr>
          <w:rFonts w:hint="eastAsia" w:ascii="仿宋_GB2312" w:hAnsi="宋体" w:eastAsia="仿宋_GB2312"/>
          <w:color w:val="000000"/>
          <w:sz w:val="32"/>
          <w:szCs w:val="32"/>
        </w:rPr>
        <w:t>北交所公开发行股票并上市和上市公司发行证券的持续督导工作内容</w:t>
      </w:r>
      <w:bookmarkEnd w:id="122"/>
      <w:bookmarkEnd w:id="123"/>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1、督导</w:t>
      </w:r>
      <w:r>
        <w:rPr>
          <w:rFonts w:hint="eastAsia" w:ascii="仿宋_GB2312" w:hAnsi="宋体" w:eastAsia="仿宋_GB2312"/>
          <w:color w:val="000000" w:themeColor="text1"/>
          <w:sz w:val="32"/>
          <w:szCs w:val="32"/>
          <w14:textFill>
            <w14:solidFill>
              <w14:schemeClr w14:val="tx1"/>
            </w14:solidFill>
          </w14:textFill>
        </w:rPr>
        <w:t>发行人建立健全并有效执行公司治理制度、财务内控制度和信息披露制度。</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2、督导发行人按照《北京证券交易所股票上市规则（试行）》的规定履行信息披露及其他相关义务。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3、审阅发行人信息披露文件及其他相关文件，保证制作、出具的文件真实、准确、完整，不存在虚假记载、误导性陈述和重大遗漏。</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、督导发行人的控股股东、实际控制人、董事、监事和高级管理人员遵守北交所业务规则，履行其所作出的承诺。</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5、需要对发行人以下事项明确发表意见：</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关联交易、提供担保、变更募集资金用途</w:t>
      </w:r>
      <w:r>
        <w:rPr>
          <w:rFonts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（2）主要业务停滞或出现重大风险事件，经营业绩异常波动；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（3）控股股东、实际控制人及其一致行动人所持股份被司法冻结且可能导致控制权变动；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（4）控股股东、实际控制人及其一致行动人质押股份比例超过所持股份8</w:t>
      </w:r>
      <w:r>
        <w:rPr>
          <w:rFonts w:ascii="仿宋_GB2312" w:hAnsi="宋体" w:eastAsia="仿宋_GB2312"/>
          <w:color w:val="000000" w:themeColor="text1"/>
          <w:sz w:val="32"/>
          <w:szCs w:val="32"/>
          <w14:textFill>
            <w14:solidFill>
              <w14:schemeClr w14:val="tx1"/>
            </w14:solidFill>
          </w14:textFill>
        </w:rPr>
        <w:t>0%</w:t>
      </w:r>
      <w:r>
        <w:rPr>
          <w:rFonts w:hint="eastAsia" w:ascii="仿宋_GB2312" w:hAnsi="宋体" w:eastAsia="仿宋_GB2312"/>
          <w:color w:val="000000" w:themeColor="text1"/>
          <w:sz w:val="32"/>
          <w:szCs w:val="32"/>
          <w14:textFill>
            <w14:solidFill>
              <w14:schemeClr w14:val="tx1"/>
            </w14:solidFill>
          </w14:textFill>
        </w:rPr>
        <w:t>或被强制处置。</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6、需要在发行人出现以下情形时对发行人进行现场检查：</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（1）未在规定期限内披露定期报告；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（2）控股股东、实际控制人或其他关联方涉嫌违规占用或转移资金、资产或其他资源；</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（3）关联交易显失公允或未履行审议程序和信息披露义务；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（4）违规使用募集资金，违规为他人提供担保或借款；</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（5）上市公司及其董监高、控股股东、实际控制人涉嫌重大违法违规；</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（6）存在重大财务造假嫌疑。</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保荐人进行现场核查的，应当告知上市公司现场核查结果及整改建议（如有），并在现场核查结束后</w:t>
      </w:r>
      <w:r>
        <w:rPr>
          <w:rFonts w:ascii="仿宋_GB2312" w:hAnsi="宋体" w:eastAsia="仿宋_GB2312"/>
          <w:color w:val="000000" w:themeColor="text1"/>
          <w:sz w:val="32"/>
          <w:szCs w:val="32"/>
          <w14:textFill>
            <w14:solidFill>
              <w14:schemeClr w14:val="tx1"/>
            </w14:solidFill>
          </w14:textFill>
        </w:rPr>
        <w:t>15个工作日内披露现场核查报告。</w:t>
      </w:r>
    </w:p>
    <w:p>
      <w:pPr>
        <w:spacing w:line="360" w:lineRule="auto"/>
        <w:ind w:firstLine="640" w:firstLineChars="200"/>
        <w:outlineLvl w:val="2"/>
        <w:rPr>
          <w:rFonts w:ascii="仿宋_GB2312" w:hAnsi="宋体" w:eastAsia="仿宋_GB2312"/>
          <w:color w:val="000000" w:themeColor="text1"/>
          <w:sz w:val="32"/>
          <w:szCs w:val="32"/>
          <w14:textFill>
            <w14:solidFill>
              <w14:schemeClr w14:val="tx1"/>
            </w14:solidFill>
          </w14:textFill>
        </w:rPr>
      </w:pPr>
      <w:bookmarkStart w:id="124" w:name="_Toc1269635429"/>
      <w:bookmarkStart w:id="125" w:name="_Toc76472378"/>
      <w:bookmarkStart w:id="126" w:name="_Toc105940648"/>
      <w:r>
        <w:rPr>
          <w:rFonts w:ascii="仿宋_GB2312" w:hAnsi="宋体" w:eastAsia="仿宋_GB2312"/>
          <w:color w:val="000000" w:themeColor="text1"/>
          <w:sz w:val="32"/>
          <w:szCs w:val="32"/>
          <w14:textFill>
            <w14:solidFill>
              <w14:schemeClr w14:val="tx1"/>
            </w14:solidFill>
          </w14:textFill>
        </w:rPr>
        <w:t xml:space="preserve">5.4  </w:t>
      </w:r>
      <w:r>
        <w:rPr>
          <w:rFonts w:hint="eastAsia" w:ascii="仿宋_GB2312" w:hAnsi="宋体" w:eastAsia="仿宋_GB2312"/>
          <w:color w:val="000000" w:themeColor="text1"/>
          <w:sz w:val="32"/>
          <w:szCs w:val="32"/>
          <w14:textFill>
            <w14:solidFill>
              <w14:schemeClr w14:val="tx1"/>
            </w14:solidFill>
          </w14:textFill>
        </w:rPr>
        <w:t>持续督导重要事项的尽职调查要点</w:t>
      </w:r>
      <w:bookmarkEnd w:id="124"/>
      <w:bookmarkEnd w:id="125"/>
      <w:bookmarkEnd w:id="126"/>
    </w:p>
    <w:p>
      <w:pPr>
        <w:spacing w:line="360" w:lineRule="auto"/>
        <w:ind w:firstLine="640" w:firstLineChars="200"/>
        <w:outlineLvl w:val="2"/>
        <w:rPr>
          <w:rFonts w:ascii="仿宋_GB2312" w:hAnsi="宋体" w:eastAsia="仿宋_GB2312"/>
          <w:color w:val="000000"/>
          <w:sz w:val="32"/>
          <w:szCs w:val="32"/>
        </w:rPr>
      </w:pPr>
      <w:bookmarkStart w:id="127" w:name="_Toc105940649"/>
      <w:bookmarkStart w:id="128" w:name="_Toc76472379"/>
      <w:r>
        <w:rPr>
          <w:rFonts w:ascii="仿宋_GB2312" w:hAnsi="宋体" w:eastAsia="仿宋_GB2312"/>
          <w:color w:val="000000"/>
          <w:sz w:val="32"/>
          <w:szCs w:val="32"/>
        </w:rPr>
        <w:t xml:space="preserve">5.4.1  </w:t>
      </w:r>
      <w:r>
        <w:rPr>
          <w:rFonts w:hint="eastAsia" w:ascii="仿宋_GB2312" w:hAnsi="宋体" w:eastAsia="仿宋_GB2312"/>
          <w:color w:val="000000"/>
          <w:sz w:val="32"/>
          <w:szCs w:val="32"/>
        </w:rPr>
        <w:t>募集资金</w:t>
      </w:r>
      <w:bookmarkEnd w:id="127"/>
      <w:bookmarkEnd w:id="128"/>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需要</w:t>
      </w:r>
      <w:r>
        <w:rPr>
          <w:rFonts w:ascii="仿宋_GB2312" w:hAnsi="宋体" w:eastAsia="仿宋_GB2312"/>
          <w:color w:val="000000" w:themeColor="text1"/>
          <w:sz w:val="32"/>
          <w:szCs w:val="32"/>
          <w14:textFill>
            <w14:solidFill>
              <w14:schemeClr w14:val="tx1"/>
            </w14:solidFill>
          </w14:textFill>
        </w:rPr>
        <w:t>在规定时间要求内签署三方监管协议，关注协议的变更、终止需要在规定时间内履行相应程序</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2、关注募集资金专户开立是否经过董事会审议</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上市公司应当每季度向保荐人发送</w:t>
      </w:r>
      <w:r>
        <w:rPr>
          <w:rFonts w:ascii="仿宋_GB2312" w:hAnsi="宋体" w:eastAsia="仿宋_GB2312"/>
          <w:color w:val="000000" w:themeColor="text1"/>
          <w:sz w:val="32"/>
          <w:szCs w:val="32"/>
          <w14:textFill>
            <w14:solidFill>
              <w14:schemeClr w14:val="tx1"/>
            </w14:solidFill>
          </w14:textFill>
        </w:rPr>
        <w:t>募集资金</w:t>
      </w:r>
      <w:r>
        <w:rPr>
          <w:rFonts w:hint="eastAsia" w:ascii="仿宋_GB2312" w:hAnsi="宋体" w:eastAsia="仿宋_GB2312"/>
          <w:color w:val="000000" w:themeColor="text1"/>
          <w:sz w:val="32"/>
          <w:szCs w:val="32"/>
          <w14:textFill>
            <w14:solidFill>
              <w14:schemeClr w14:val="tx1"/>
            </w14:solidFill>
          </w14:textFill>
        </w:rPr>
        <w:t>台账</w:t>
      </w:r>
      <w:r>
        <w:rPr>
          <w:rFonts w:ascii="仿宋_GB2312" w:hAnsi="宋体" w:eastAsia="仿宋_GB2312"/>
          <w:color w:val="000000" w:themeColor="text1"/>
          <w:sz w:val="32"/>
          <w:szCs w:val="32"/>
          <w14:textFill>
            <w14:solidFill>
              <w14:schemeClr w14:val="tx1"/>
            </w14:solidFill>
          </w14:textFill>
        </w:rPr>
        <w:t>、关注</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大额支取募集资金的流向，防止</w:t>
      </w:r>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及关联方直接或者间接违规使用或者占用募集资金。</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4、关注募集资金投资项目进度，针对募集资金项目进度缓慢（</w:t>
      </w:r>
      <w:r>
        <w:rPr>
          <w:rFonts w:hint="eastAsia" w:ascii="仿宋_GB2312" w:hAnsi="宋体" w:eastAsia="仿宋_GB2312"/>
          <w:color w:val="000000" w:themeColor="text1"/>
          <w:sz w:val="32"/>
          <w:szCs w:val="32"/>
          <w14:textFill>
            <w14:solidFill>
              <w14:schemeClr w14:val="tx1"/>
            </w14:solidFill>
          </w14:textFill>
        </w:rPr>
        <w:t>年度实际投资金额与计划投资金额的差额超过计划金额的</w:t>
      </w:r>
      <w:r>
        <w:rPr>
          <w:rFonts w:ascii="仿宋_GB2312" w:hAnsi="宋体" w:eastAsia="仿宋_GB2312"/>
          <w:color w:val="000000" w:themeColor="text1"/>
          <w:sz w:val="32"/>
          <w:szCs w:val="32"/>
          <w14:textFill>
            <w14:solidFill>
              <w14:schemeClr w14:val="tx1"/>
            </w14:solidFill>
          </w14:textFill>
        </w:rPr>
        <w:t>30%）、延期的情况，关注是否需要重新论证或者进行变更</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5、募集资金是否用于募集资金投资项目，是否被占用、挪用</w:t>
      </w:r>
      <w:r>
        <w:rPr>
          <w:rFonts w:hint="eastAsia" w:ascii="仿宋_GB2312" w:hAnsi="宋体" w:eastAsia="仿宋_GB2312"/>
          <w:color w:val="000000" w:themeColor="text1"/>
          <w:sz w:val="32"/>
          <w:szCs w:val="32"/>
          <w14:textFill>
            <w14:solidFill>
              <w14:schemeClr w14:val="tx1"/>
            </w14:solidFill>
          </w14:textFill>
        </w:rPr>
        <w:t>，以及</w:t>
      </w:r>
      <w:r>
        <w:rPr>
          <w:rFonts w:ascii="仿宋_GB2312" w:hAnsi="宋体" w:eastAsia="仿宋_GB2312"/>
          <w:color w:val="000000" w:themeColor="text1"/>
          <w:sz w:val="32"/>
          <w:szCs w:val="32"/>
          <w14:textFill>
            <w14:solidFill>
              <w14:schemeClr w14:val="tx1"/>
            </w14:solidFill>
          </w14:textFill>
        </w:rPr>
        <w:t>募集资金专户与一般户是否存在混同使用的情况</w:t>
      </w:r>
      <w:r>
        <w:rPr>
          <w:rFonts w:hint="eastAsia" w:ascii="仿宋_GB2312" w:hAnsi="宋体" w:eastAsia="仿宋_GB2312"/>
          <w:color w:val="000000" w:themeColor="text1"/>
          <w:sz w:val="32"/>
          <w:szCs w:val="32"/>
          <w14:textFill>
            <w14:solidFill>
              <w14:schemeClr w14:val="tx1"/>
            </w14:solidFill>
          </w14:textFill>
        </w:rPr>
        <w:t>，募集资金专户是否被冻结。</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6、若存在募集资金置换前期投入资金的，需要关注置换时间是否在募集资金到账后6个月内，置换金额是否准确</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审议流程及信息披露是否合规</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7、</w:t>
      </w:r>
      <w:r>
        <w:rPr>
          <w:rFonts w:hint="eastAsia" w:ascii="仿宋_GB2312" w:hAnsi="宋体" w:eastAsia="仿宋_GB2312"/>
          <w:color w:val="000000" w:themeColor="text1"/>
          <w:sz w:val="32"/>
          <w:szCs w:val="32"/>
          <w14:textFill>
            <w14:solidFill>
              <w14:schemeClr w14:val="tx1"/>
            </w14:solidFill>
          </w14:textFill>
        </w:rPr>
        <w:t>保荐人在合理信赖会计师出具的审计报告、募集资金专项鉴证报告等基础上，通过抽查</w:t>
      </w:r>
      <w:r>
        <w:rPr>
          <w:rFonts w:ascii="仿宋_GB2312" w:hAnsi="宋体" w:eastAsia="仿宋_GB2312"/>
          <w:color w:val="000000" w:themeColor="text1"/>
          <w:sz w:val="32"/>
          <w:szCs w:val="32"/>
          <w14:textFill>
            <w14:solidFill>
              <w14:schemeClr w14:val="tx1"/>
            </w14:solidFill>
          </w14:textFill>
        </w:rPr>
        <w:t>募集资金</w:t>
      </w:r>
      <w:r>
        <w:rPr>
          <w:rFonts w:hint="eastAsia" w:ascii="仿宋_GB2312" w:hAnsi="宋体" w:eastAsia="仿宋_GB2312"/>
          <w:color w:val="000000" w:themeColor="text1"/>
          <w:sz w:val="32"/>
          <w:szCs w:val="32"/>
          <w14:textFill>
            <w14:solidFill>
              <w14:schemeClr w14:val="tx1"/>
            </w14:solidFill>
          </w14:textFill>
        </w:rPr>
        <w:t>投资项目的支出明细账、采购合同、发票、</w:t>
      </w:r>
      <w:r>
        <w:rPr>
          <w:rFonts w:ascii="仿宋_GB2312" w:hAnsi="宋体" w:eastAsia="仿宋_GB2312"/>
          <w:color w:val="000000" w:themeColor="text1"/>
          <w:sz w:val="32"/>
          <w:szCs w:val="32"/>
          <w14:textFill>
            <w14:solidFill>
              <w14:schemeClr w14:val="tx1"/>
            </w14:solidFill>
          </w14:textFill>
        </w:rPr>
        <w:t>资金支出审批流程</w:t>
      </w:r>
      <w:r>
        <w:rPr>
          <w:rFonts w:hint="eastAsia" w:ascii="仿宋_GB2312" w:hAnsi="宋体" w:eastAsia="仿宋_GB2312"/>
          <w:color w:val="000000" w:themeColor="text1"/>
          <w:sz w:val="32"/>
          <w:szCs w:val="32"/>
          <w14:textFill>
            <w14:solidFill>
              <w14:schemeClr w14:val="tx1"/>
            </w14:solidFill>
          </w14:textFill>
        </w:rPr>
        <w:t>资料等核查方式关注：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募投项目的具体投入情况</w:t>
      </w:r>
      <w:r>
        <w:rPr>
          <w:rFonts w:ascii="仿宋_GB2312" w:hAnsi="宋体" w:eastAsia="仿宋_GB2312"/>
          <w:color w:val="000000" w:themeColor="text1"/>
          <w:sz w:val="32"/>
          <w:szCs w:val="32"/>
          <w14:textFill>
            <w14:solidFill>
              <w14:schemeClr w14:val="tx1"/>
            </w14:solidFill>
          </w14:textFill>
        </w:rPr>
        <w:t>与可研报告对比</w:t>
      </w:r>
      <w:r>
        <w:rPr>
          <w:rFonts w:hint="eastAsia" w:ascii="仿宋_GB2312" w:hAnsi="宋体" w:eastAsia="仿宋_GB2312"/>
          <w:color w:val="000000" w:themeColor="text1"/>
          <w:sz w:val="32"/>
          <w:szCs w:val="32"/>
          <w14:textFill>
            <w14:solidFill>
              <w14:schemeClr w14:val="tx1"/>
            </w14:solidFill>
          </w14:textFill>
        </w:rPr>
        <w:t>设备</w:t>
      </w:r>
      <w:r>
        <w:rPr>
          <w:rFonts w:ascii="仿宋_GB2312" w:hAnsi="宋体" w:eastAsia="仿宋_GB2312"/>
          <w:color w:val="000000" w:themeColor="text1"/>
          <w:sz w:val="32"/>
          <w:szCs w:val="32"/>
          <w14:textFill>
            <w14:solidFill>
              <w14:schemeClr w14:val="tx1"/>
            </w14:solidFill>
          </w14:textFill>
        </w:rPr>
        <w:t>购买的数量、型号、金额</w:t>
      </w:r>
      <w:r>
        <w:rPr>
          <w:rFonts w:hint="eastAsia" w:ascii="仿宋_GB2312" w:hAnsi="宋体" w:eastAsia="仿宋_GB2312"/>
          <w:color w:val="000000" w:themeColor="text1"/>
          <w:sz w:val="32"/>
          <w:szCs w:val="32"/>
          <w14:textFill>
            <w14:solidFill>
              <w14:schemeClr w14:val="tx1"/>
            </w14:solidFill>
          </w14:textFill>
        </w:rPr>
        <w:t>是否存在较大差异；</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募投项目相关采购的</w:t>
      </w:r>
      <w:r>
        <w:rPr>
          <w:rFonts w:ascii="仿宋_GB2312" w:hAnsi="宋体" w:eastAsia="仿宋_GB2312"/>
          <w:color w:val="000000" w:themeColor="text1"/>
          <w:sz w:val="32"/>
          <w:szCs w:val="32"/>
          <w14:textFill>
            <w14:solidFill>
              <w14:schemeClr w14:val="tx1"/>
            </w14:solidFill>
          </w14:textFill>
        </w:rPr>
        <w:t>供应商是否关联方、是否有大额预付、定价是否公允；</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募投项目采购的</w:t>
      </w:r>
      <w:r>
        <w:rPr>
          <w:rFonts w:ascii="仿宋_GB2312" w:hAnsi="宋体" w:eastAsia="仿宋_GB2312"/>
          <w:color w:val="000000" w:themeColor="text1"/>
          <w:sz w:val="32"/>
          <w:szCs w:val="32"/>
          <w14:textFill>
            <w14:solidFill>
              <w14:schemeClr w14:val="tx1"/>
            </w14:solidFill>
          </w14:textFill>
        </w:rPr>
        <w:t>设备是否投入使用、折旧是否谨慎合理；</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4）资金支出审批流程与公司财务管理制度、</w:t>
      </w:r>
      <w:r>
        <w:rPr>
          <w:rFonts w:hint="eastAsia" w:ascii="仿宋_GB2312" w:hAnsi="宋体" w:eastAsia="仿宋_GB2312"/>
          <w:color w:val="000000" w:themeColor="text1"/>
          <w:sz w:val="32"/>
          <w:szCs w:val="32"/>
          <w14:textFill>
            <w14:solidFill>
              <w14:schemeClr w14:val="tx1"/>
            </w14:solidFill>
          </w14:textFill>
        </w:rPr>
        <w:t>采购管理制度、</w:t>
      </w:r>
      <w:r>
        <w:rPr>
          <w:rFonts w:ascii="仿宋_GB2312" w:hAnsi="宋体" w:eastAsia="仿宋_GB2312"/>
          <w:color w:val="000000" w:themeColor="text1"/>
          <w:sz w:val="32"/>
          <w:szCs w:val="32"/>
          <w14:textFill>
            <w14:solidFill>
              <w14:schemeClr w14:val="tx1"/>
            </w14:solidFill>
          </w14:textFill>
        </w:rPr>
        <w:t>募集资金使用制度中资金支出金额及对应的审批、付款流程是否对应，内控是否有效</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5）是否存在不属于</w:t>
      </w:r>
      <w:r>
        <w:rPr>
          <w:rFonts w:hint="eastAsia" w:ascii="仿宋_GB2312" w:hAnsi="宋体" w:eastAsia="仿宋_GB2312"/>
          <w:color w:val="000000" w:themeColor="text1"/>
          <w:sz w:val="32"/>
          <w:szCs w:val="32"/>
          <w14:textFill>
            <w14:solidFill>
              <w14:schemeClr w14:val="tx1"/>
            </w14:solidFill>
          </w14:textFill>
        </w:rPr>
        <w:t>募投项目相关人员通过募集资金领取工资或报销的情形；</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暂时闲置的募集资金可暂时用于补充流动资金。暂时补充流动资金，仅限于与主营业务相关的生产经营使用，不得通过直接或间接安排用于新股配售、申购，或用于股票及其衍生品种、可转换公司债券等的交易。闲置募集资金暂时用于补充流动资金的，应经上市公司董事会审议通过，独立董事、监事会、保荐人发表明确同意意见并披露，单次补充流动资金最长不得超过12个月。</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关注上市公司以闲置募集资金暂时补充流动资金的，是否归还前次用于暂时补流的募集资金。如上市公司以闲置募集资金暂时补流，应当符合已归还已到期前次用于暂时补充流动资金的募集资金（上交所适用）；上市公司以闲置募集资金暂时补流的，应当符合已归还前次用于暂时补充流动资金的募集资金（深交所适用）。</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超募资金可用于永久补充流动资金和归还银行借款，每十二个月内累计金额不得超过超募资金总额的</w:t>
      </w:r>
      <w:r>
        <w:rPr>
          <w:rFonts w:ascii="仿宋_GB2312" w:hAnsi="宋体" w:eastAsia="仿宋_GB2312"/>
          <w:color w:val="000000" w:themeColor="text1"/>
          <w:sz w:val="32"/>
          <w:szCs w:val="32"/>
          <w14:textFill>
            <w14:solidFill>
              <w14:schemeClr w14:val="tx1"/>
            </w14:solidFill>
          </w14:textFill>
        </w:rPr>
        <w:t>30%。</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超募资金用于永久补充流动资金和归还银行借款的，应当经上市公司股东大会审议批准，并提供网络投票表决方式，独立董事、保荐人应当发表明确同意意见并披露。上市公司应当承诺在补充流动资金后的十二个月内不进行高风险投资以及为他人提供财务资助并披露。</w:t>
      </w:r>
    </w:p>
    <w:p>
      <w:pPr>
        <w:numPr>
          <w:ilvl w:val="0"/>
          <w:numId w:val="5"/>
        </w:num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关注募集资用途是否发生变更。是否取消或者终止原募集资金项目，实施新项目；是否变更募集资金投资项目实施主体（实施主体在上市公司及其全资子公司之间变更的除外）；是否变更募集资金投资项目实施方式。</w:t>
      </w:r>
    </w:p>
    <w:p>
      <w:pPr>
        <w:numPr>
          <w:ilvl w:val="0"/>
          <w:numId w:val="5"/>
        </w:num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发行人使用节余募集资金（包括利息收入）是否达到或者超过该项目募集资金净额相关规定，关注是否经股东大会审议通过。</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10</w:t>
      </w:r>
      <w:r>
        <w:rPr>
          <w:rFonts w:ascii="仿宋_GB2312" w:hAnsi="宋体" w:eastAsia="仿宋_GB2312"/>
          <w:color w:val="000000" w:themeColor="text1"/>
          <w:sz w:val="32"/>
          <w:szCs w:val="32"/>
          <w14:textFill>
            <w14:solidFill>
              <w14:schemeClr w14:val="tx1"/>
            </w14:solidFill>
          </w14:textFill>
        </w:rPr>
        <w:t>、若募集资金</w:t>
      </w:r>
      <w:r>
        <w:rPr>
          <w:rFonts w:hint="eastAsia" w:ascii="仿宋_GB2312" w:hAnsi="宋体" w:eastAsia="仿宋_GB2312"/>
          <w:color w:val="000000" w:themeColor="text1"/>
          <w:sz w:val="32"/>
          <w:szCs w:val="32"/>
          <w14:textFill>
            <w14:solidFill>
              <w14:schemeClr w14:val="tx1"/>
            </w14:solidFill>
          </w14:textFill>
        </w:rPr>
        <w:t>存在</w:t>
      </w:r>
      <w:r>
        <w:rPr>
          <w:rFonts w:ascii="仿宋_GB2312" w:hAnsi="宋体" w:eastAsia="仿宋_GB2312"/>
          <w:color w:val="000000" w:themeColor="text1"/>
          <w:sz w:val="32"/>
          <w:szCs w:val="32"/>
          <w14:textFill>
            <w14:solidFill>
              <w14:schemeClr w14:val="tx1"/>
            </w14:solidFill>
          </w14:textFill>
        </w:rPr>
        <w:t>使用缓慢、变更的</w:t>
      </w:r>
      <w:r>
        <w:rPr>
          <w:rFonts w:hint="eastAsia" w:ascii="仿宋_GB2312" w:hAnsi="宋体" w:eastAsia="仿宋_GB2312"/>
          <w:color w:val="000000" w:themeColor="text1"/>
          <w:sz w:val="32"/>
          <w:szCs w:val="32"/>
          <w14:textFill>
            <w14:solidFill>
              <w14:schemeClr w14:val="tx1"/>
            </w14:solidFill>
          </w14:textFill>
        </w:rPr>
        <w:t>情形的</w:t>
      </w:r>
      <w:r>
        <w:rPr>
          <w:rFonts w:ascii="仿宋_GB2312" w:hAnsi="宋体" w:eastAsia="仿宋_GB2312"/>
          <w:color w:val="000000" w:themeColor="text1"/>
          <w:sz w:val="32"/>
          <w:szCs w:val="32"/>
          <w14:textFill>
            <w14:solidFill>
              <w14:schemeClr w14:val="tx1"/>
            </w14:solidFill>
          </w14:textFill>
        </w:rPr>
        <w:t>，重</w:t>
      </w:r>
      <w:r>
        <w:rPr>
          <w:rFonts w:hint="eastAsia" w:ascii="仿宋_GB2312" w:hAnsi="宋体" w:eastAsia="仿宋_GB2312"/>
          <w:color w:val="000000" w:themeColor="text1"/>
          <w:sz w:val="32"/>
          <w:szCs w:val="32"/>
          <w14:textFill>
            <w14:solidFill>
              <w14:schemeClr w14:val="tx1"/>
            </w14:solidFill>
          </w14:textFill>
        </w:rPr>
        <w:t>点核查使用缓慢的原因或</w:t>
      </w:r>
      <w:r>
        <w:rPr>
          <w:rFonts w:ascii="仿宋_GB2312" w:hAnsi="宋体" w:eastAsia="仿宋_GB2312"/>
          <w:color w:val="000000" w:themeColor="text1"/>
          <w:sz w:val="32"/>
          <w:szCs w:val="32"/>
          <w14:textFill>
            <w14:solidFill>
              <w14:schemeClr w14:val="tx1"/>
            </w14:solidFill>
          </w14:textFill>
        </w:rPr>
        <w:t>新项目的可研报告是否谨慎合理</w:t>
      </w:r>
      <w:r>
        <w:rPr>
          <w:rFonts w:hint="eastAsia" w:ascii="仿宋_GB2312" w:hAnsi="宋体" w:eastAsia="仿宋_GB2312"/>
          <w:color w:val="000000" w:themeColor="text1"/>
          <w:sz w:val="32"/>
          <w:szCs w:val="32"/>
          <w14:textFill>
            <w14:solidFill>
              <w14:schemeClr w14:val="tx1"/>
            </w14:solidFill>
          </w14:textFill>
        </w:rPr>
        <w:t>，并关注相关内部</w:t>
      </w:r>
      <w:r>
        <w:rPr>
          <w:rFonts w:ascii="仿宋_GB2312" w:hAnsi="宋体" w:eastAsia="仿宋_GB2312"/>
          <w:color w:val="000000" w:themeColor="text1"/>
          <w:sz w:val="32"/>
          <w:szCs w:val="32"/>
          <w14:textFill>
            <w14:solidFill>
              <w14:schemeClr w14:val="tx1"/>
            </w14:solidFill>
          </w14:textFill>
        </w:rPr>
        <w:t>审议流程是否合规</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信息披露是否合规</w:t>
      </w:r>
      <w:r>
        <w:rPr>
          <w:rFonts w:hint="eastAsia" w:ascii="仿宋_GB2312" w:hAnsi="宋体" w:eastAsia="仿宋_GB2312"/>
          <w:color w:val="000000" w:themeColor="text1"/>
          <w:sz w:val="32"/>
          <w:szCs w:val="32"/>
          <w14:textFill>
            <w14:solidFill>
              <w14:schemeClr w14:val="tx1"/>
            </w14:solidFill>
          </w14:textFill>
        </w:rPr>
        <w:t>。</w:t>
      </w:r>
    </w:p>
    <w:p>
      <w:pPr>
        <w:widowControl/>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1</w:t>
      </w:r>
      <w:r>
        <w:rPr>
          <w:rFonts w:ascii="仿宋_GB2312" w:hAnsi="宋体" w:eastAsia="仿宋_GB2312"/>
          <w:color w:val="000000" w:themeColor="text1"/>
          <w:sz w:val="32"/>
          <w:szCs w:val="32"/>
          <w14:textFill>
            <w14:solidFill>
              <w14:schemeClr w14:val="tx1"/>
            </w14:solidFill>
          </w14:textFill>
        </w:rPr>
        <w:t>、募集资金台账、理财台账（如有）记录是否准确</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12、募集资金是否被用于质押或者违规担保。</w:t>
      </w:r>
    </w:p>
    <w:p>
      <w:pPr>
        <w:spacing w:line="360" w:lineRule="auto"/>
        <w:ind w:firstLine="640" w:firstLineChars="200"/>
        <w:outlineLvl w:val="2"/>
        <w:rPr>
          <w:rFonts w:ascii="仿宋_GB2312" w:hAnsi="宋体" w:eastAsia="仿宋_GB2312"/>
          <w:color w:val="000000"/>
          <w:sz w:val="32"/>
          <w:szCs w:val="32"/>
        </w:rPr>
      </w:pPr>
      <w:bookmarkStart w:id="129" w:name="_Toc76472380"/>
      <w:bookmarkStart w:id="130" w:name="_Toc105940650"/>
      <w:r>
        <w:rPr>
          <w:rFonts w:ascii="仿宋_GB2312" w:hAnsi="宋体" w:eastAsia="仿宋_GB2312"/>
          <w:color w:val="000000"/>
          <w:sz w:val="32"/>
          <w:szCs w:val="32"/>
        </w:rPr>
        <w:t xml:space="preserve">5.4.2  </w:t>
      </w:r>
      <w:r>
        <w:rPr>
          <w:rFonts w:hint="eastAsia" w:ascii="仿宋_GB2312" w:hAnsi="宋体" w:eastAsia="仿宋_GB2312"/>
          <w:color w:val="000000"/>
          <w:sz w:val="32"/>
          <w:szCs w:val="32"/>
        </w:rPr>
        <w:t>资金占用</w:t>
      </w:r>
      <w:bookmarkEnd w:id="129"/>
      <w:bookmarkEnd w:id="130"/>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保荐人应核查发行人控股股东、实际控制人及其关联人是否存在直接或者间接占用上市公司资金或者其他资源的情形，</w:t>
      </w:r>
      <w:r>
        <w:rPr>
          <w:rFonts w:ascii="仿宋_GB2312" w:hAnsi="宋体" w:eastAsia="仿宋_GB2312"/>
          <w:color w:val="000000" w:themeColor="text1"/>
          <w:sz w:val="32"/>
          <w:szCs w:val="32"/>
          <w14:textFill>
            <w14:solidFill>
              <w14:schemeClr w14:val="tx1"/>
            </w14:solidFill>
          </w14:textFill>
        </w:rPr>
        <w:t>是否建立了防止控股股东、实际控制人及其关联人直接或者间接占用上市公司资金或者其他资源的制度。</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1、公司与控股股东、实际</w:t>
      </w:r>
      <w:r>
        <w:rPr>
          <w:rFonts w:ascii="仿宋_GB2312" w:eastAsia="仿宋_GB2312"/>
          <w:sz w:val="32"/>
          <w:szCs w:val="32"/>
        </w:rPr>
        <w:t>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发生经营性资金往来时，是否严格履行相关审议程序和信息披露义务，明确经营性资金往来的结算期限，关注是否以经营性资金往来的形式变相为控股股东、实际</w:t>
      </w:r>
      <w:r>
        <w:rPr>
          <w:rFonts w:ascii="仿宋_GB2312" w:eastAsia="仿宋_GB2312"/>
          <w:sz w:val="32"/>
          <w:szCs w:val="32"/>
        </w:rPr>
        <w:t>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提供资金等财务资助。</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、关注董事会是否建立核查制度，定期检查公司货币资金、资产受限情况，以及与控股股东、实际控制人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之间的交易和资金往来等情况，关注财务报告中相关会计科目是否存在异常，核实公司是否存在被控股股东、实际</w:t>
      </w:r>
      <w:r>
        <w:rPr>
          <w:rFonts w:ascii="仿宋_GB2312" w:eastAsia="仿宋_GB2312"/>
          <w:sz w:val="32"/>
          <w:szCs w:val="32"/>
        </w:rPr>
        <w:t>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占用、转移资金、资产或者其他资源等侵占公司利益的情形。发现异常情况的，应当督促上市公司立即披露。</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、如审计委员会检查发现公司控股股东、实际控制人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存在资金占用情况的，应当督促公司董事会立即披露并及时采取追讨措施；公司未及时披露，或者披露内容与实际情况不符的，相关人员应当立即向交易所报告。</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、关注财务负责人是否对公司财务过程的控制，监控公司与控股股东、实际控制人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之间的交易和资金往来情况。财务负责人是否可以保证公司的财务独立，不受控股股东、实际控制人影响，若收到控股股东、实际</w:t>
      </w:r>
      <w:r>
        <w:rPr>
          <w:rFonts w:ascii="仿宋_GB2312" w:eastAsia="仿宋_GB2312"/>
          <w:sz w:val="32"/>
          <w:szCs w:val="32"/>
        </w:rPr>
        <w:t>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占用、转移资金、资产或者其他资源等侵占公司利益的指令，是否明确予以拒绝，并及时向董事会报告。</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eastAsia="仿宋_GB2312"/>
          <w:sz w:val="32"/>
          <w:szCs w:val="32"/>
        </w:rPr>
        <w:t>5</w:t>
      </w:r>
      <w:r>
        <w:rPr>
          <w:rFonts w:ascii="仿宋_GB2312" w:eastAsia="仿宋_GB2312"/>
          <w:sz w:val="32"/>
          <w:szCs w:val="32"/>
        </w:rPr>
        <w:t>、重点关注公司是否存在控股股东、实际控制人</w:t>
      </w:r>
      <w:r>
        <w:rPr>
          <w:rFonts w:hint="eastAsia" w:ascii="仿宋_GB2312" w:eastAsia="仿宋_GB2312"/>
          <w:sz w:val="32"/>
          <w:szCs w:val="32"/>
        </w:rPr>
        <w:t>及其</w:t>
      </w:r>
      <w:r>
        <w:rPr>
          <w:rFonts w:ascii="仿宋_GB2312" w:eastAsia="仿宋_GB2312"/>
          <w:sz w:val="32"/>
          <w:szCs w:val="32"/>
        </w:rPr>
        <w:t>关联方</w:t>
      </w:r>
      <w:r>
        <w:rPr>
          <w:rFonts w:hint="eastAsia" w:ascii="仿宋_GB2312" w:eastAsia="仿宋_GB2312"/>
          <w:sz w:val="32"/>
          <w:szCs w:val="32"/>
        </w:rPr>
        <w:t>资金占用，以及资金往来、现金流重大异常等情况。发现异常情况的，保荐人应督促公司立即核实并披露，同时按照相关规定及时进行专项现场核查。</w:t>
      </w:r>
    </w:p>
    <w:p>
      <w:pPr>
        <w:spacing w:line="360" w:lineRule="auto"/>
        <w:ind w:firstLine="640" w:firstLineChars="200"/>
        <w:outlineLvl w:val="2"/>
        <w:rPr>
          <w:rFonts w:ascii="仿宋_GB2312" w:hAnsi="宋体" w:eastAsia="仿宋_GB2312"/>
          <w:color w:val="000000"/>
          <w:sz w:val="32"/>
          <w:szCs w:val="32"/>
        </w:rPr>
      </w:pPr>
      <w:bookmarkStart w:id="131" w:name="_Toc76472381"/>
      <w:bookmarkStart w:id="132" w:name="_Toc105940651"/>
      <w:r>
        <w:rPr>
          <w:rFonts w:ascii="仿宋_GB2312" w:hAnsi="宋体" w:eastAsia="仿宋_GB2312"/>
          <w:color w:val="000000"/>
          <w:sz w:val="32"/>
          <w:szCs w:val="32"/>
        </w:rPr>
        <w:t xml:space="preserve">5.4.3  </w:t>
      </w:r>
      <w:r>
        <w:rPr>
          <w:rFonts w:hint="eastAsia" w:ascii="仿宋_GB2312" w:hAnsi="宋体" w:eastAsia="仿宋_GB2312"/>
          <w:color w:val="000000"/>
          <w:sz w:val="32"/>
          <w:szCs w:val="32"/>
        </w:rPr>
        <w:t>关联方与关联交易</w:t>
      </w:r>
      <w:bookmarkEnd w:id="131"/>
      <w:bookmarkEnd w:id="132"/>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1、关联方披露是否完整，持续督导期内是否新增关联方。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w:t>
      </w:r>
      <w:r>
        <w:rPr>
          <w:rFonts w:ascii="仿宋_GB2312" w:hAnsi="宋体" w:eastAsia="仿宋_GB2312"/>
          <w:color w:val="000000" w:themeColor="text1"/>
          <w:sz w:val="32"/>
          <w:szCs w:val="32"/>
          <w14:textFill>
            <w14:solidFill>
              <w14:schemeClr w14:val="tx1"/>
            </w14:solidFill>
          </w14:textFill>
        </w:rPr>
        <w:t>、关联交易的审议程序是否合规，关注</w:t>
      </w:r>
      <w:r>
        <w:rPr>
          <w:rFonts w:hint="eastAsia" w:ascii="仿宋_GB2312" w:hAnsi="宋体" w:eastAsia="仿宋_GB2312"/>
          <w:color w:val="000000" w:themeColor="text1"/>
          <w:sz w:val="32"/>
          <w:szCs w:val="32"/>
          <w14:textFill>
            <w14:solidFill>
              <w14:schemeClr w14:val="tx1"/>
            </w14:solidFill>
          </w14:textFill>
        </w:rPr>
        <w:t>回</w:t>
      </w:r>
      <w:r>
        <w:rPr>
          <w:rFonts w:ascii="仿宋_GB2312" w:hAnsi="宋体" w:eastAsia="仿宋_GB2312"/>
          <w:color w:val="000000" w:themeColor="text1"/>
          <w:sz w:val="32"/>
          <w:szCs w:val="32"/>
          <w14:textFill>
            <w14:solidFill>
              <w14:schemeClr w14:val="tx1"/>
            </w14:solidFill>
          </w14:textFill>
        </w:rPr>
        <w:t>避表决情况，审议程序是否合规且履行了相应的信息披露义务。</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w:t>
      </w:r>
      <w:r>
        <w:rPr>
          <w:rFonts w:ascii="仿宋_GB2312" w:hAnsi="宋体" w:eastAsia="仿宋_GB2312"/>
          <w:color w:val="000000" w:themeColor="text1"/>
          <w:sz w:val="32"/>
          <w:szCs w:val="32"/>
          <w14:textFill>
            <w14:solidFill>
              <w14:schemeClr w14:val="tx1"/>
            </w14:solidFill>
          </w14:textFill>
        </w:rPr>
        <w:t>、关联交易的定价政策及定价依据，包括成交价格与交易标的账面值、评估值以及明确、公允的市场价格之间的关系以及因交易标的特殊而需要说明的与定价有关的其他特定事项；若成交价格与账面值、评估值或者市场价格差异较大的，应当说明原因。</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w:t>
      </w:r>
      <w:r>
        <w:rPr>
          <w:rFonts w:ascii="仿宋_GB2312" w:hAnsi="宋体" w:eastAsia="仿宋_GB2312"/>
          <w:color w:val="000000" w:themeColor="text1"/>
          <w:sz w:val="32"/>
          <w:szCs w:val="32"/>
          <w14:textFill>
            <w14:solidFill>
              <w14:schemeClr w14:val="tx1"/>
            </w14:solidFill>
          </w14:textFill>
        </w:rPr>
        <w:t>、关联交易协议的主要内容、交易目的及对上市公司的影响，关联交易的必要性和真实意图，对本期和未来财务状况和经营成果的影响等。</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w:t>
      </w:r>
      <w:r>
        <w:rPr>
          <w:rFonts w:ascii="仿宋_GB2312" w:hAnsi="宋体" w:eastAsia="仿宋_GB2312"/>
          <w:color w:val="000000" w:themeColor="text1"/>
          <w:sz w:val="32"/>
          <w:szCs w:val="32"/>
          <w14:textFill>
            <w14:solidFill>
              <w14:schemeClr w14:val="tx1"/>
            </w14:solidFill>
          </w14:textFill>
        </w:rPr>
        <w:t>、当年年初至公告日与该关联人累计已发生的各类关联交易的总金额；对超过日常关联交易预计金额的，应当对超过金额提交审议并披露，不能</w:t>
      </w:r>
      <w:r>
        <w:rPr>
          <w:rFonts w:hint="eastAsia" w:ascii="仿宋_GB2312" w:hAnsi="宋体" w:eastAsia="仿宋_GB2312"/>
          <w:color w:val="000000" w:themeColor="text1"/>
          <w:sz w:val="32"/>
          <w:szCs w:val="32"/>
          <w14:textFill>
            <w14:solidFill>
              <w14:schemeClr w14:val="tx1"/>
            </w14:solidFill>
          </w14:textFill>
        </w:rPr>
        <w:t>只</w:t>
      </w:r>
      <w:r>
        <w:rPr>
          <w:rFonts w:ascii="仿宋_GB2312" w:hAnsi="宋体" w:eastAsia="仿宋_GB2312"/>
          <w:color w:val="000000" w:themeColor="text1"/>
          <w:sz w:val="32"/>
          <w:szCs w:val="32"/>
          <w14:textFill>
            <w14:solidFill>
              <w14:schemeClr w14:val="tx1"/>
            </w14:solidFill>
          </w14:textFill>
        </w:rPr>
        <w:t>在年报中对超出预计金额的部分进行补充确认。</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w:t>
      </w:r>
      <w:r>
        <w:rPr>
          <w:rFonts w:ascii="仿宋_GB2312" w:hAnsi="宋体" w:eastAsia="仿宋_GB2312"/>
          <w:color w:val="000000" w:themeColor="text1"/>
          <w:sz w:val="32"/>
          <w:szCs w:val="32"/>
          <w14:textFill>
            <w14:solidFill>
              <w14:schemeClr w14:val="tx1"/>
            </w14:solidFill>
          </w14:textFill>
        </w:rPr>
        <w:t>、是否存在关联交易非关联化的情形</w:t>
      </w:r>
      <w:r>
        <w:rPr>
          <w:rFonts w:hint="eastAsia"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outlineLvl w:val="2"/>
        <w:rPr>
          <w:rFonts w:ascii="仿宋_GB2312" w:hAnsi="宋体" w:eastAsia="仿宋_GB2312"/>
          <w:color w:val="000000"/>
          <w:sz w:val="32"/>
          <w:szCs w:val="32"/>
        </w:rPr>
      </w:pPr>
      <w:bookmarkStart w:id="133" w:name="_Toc76472382"/>
      <w:bookmarkStart w:id="134" w:name="_Toc105940652"/>
      <w:r>
        <w:rPr>
          <w:rFonts w:ascii="仿宋_GB2312" w:hAnsi="宋体" w:eastAsia="仿宋_GB2312"/>
          <w:color w:val="000000"/>
          <w:sz w:val="32"/>
          <w:szCs w:val="32"/>
        </w:rPr>
        <w:t xml:space="preserve">5.4.4  </w:t>
      </w:r>
      <w:r>
        <w:rPr>
          <w:rFonts w:hint="eastAsia" w:ascii="仿宋_GB2312" w:hAnsi="宋体" w:eastAsia="仿宋_GB2312"/>
          <w:color w:val="000000"/>
          <w:sz w:val="32"/>
          <w:szCs w:val="32"/>
        </w:rPr>
        <w:t>对外担保</w:t>
      </w:r>
      <w:bookmarkEnd w:id="133"/>
      <w:bookmarkEnd w:id="134"/>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控股股东、实际控制人是否维护公司在提供担保方面的独立决策，支持并配合公司依法依规履行对外担保事项的内部决策程序与信息披露义务，是否存在强令、指使或者要求公司及相关人员违规对外提供担保的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控股股东、实际控制人强令、指使或者要求公司从事违规担保行为的，公司及其董监高是否协助、配合、默许。</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2、公司董事会审议提供担保事项时，</w:t>
      </w:r>
      <w:r>
        <w:rPr>
          <w:rFonts w:hint="eastAsia" w:ascii="仿宋_GB2312" w:hAnsi="宋体" w:eastAsia="仿宋_GB2312"/>
          <w:color w:val="000000" w:themeColor="text1"/>
          <w:sz w:val="32"/>
          <w:szCs w:val="32"/>
          <w14:textFill>
            <w14:solidFill>
              <w14:schemeClr w14:val="tx1"/>
            </w14:solidFill>
          </w14:textFill>
        </w:rPr>
        <w:t>是否</w:t>
      </w:r>
      <w:r>
        <w:rPr>
          <w:rFonts w:ascii="仿宋_GB2312" w:hAnsi="宋体" w:eastAsia="仿宋_GB2312"/>
          <w:color w:val="000000" w:themeColor="text1"/>
          <w:sz w:val="32"/>
          <w:szCs w:val="32"/>
          <w14:textFill>
            <w14:solidFill>
              <w14:schemeClr w14:val="tx1"/>
            </w14:solidFill>
          </w14:textFill>
        </w:rPr>
        <w:t>核查被担保人的资信状况，并在审慎判断被担保方偿还债务能力的基础上，决定是否提供担保。</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董事会是否建立定期核查制度，每年度对公司全部担保行为进行核查，核实公司是否存在违规担保行为并及时披露核查结果。</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3、公司可能存在违规担保行为，或者公共媒体出现关于公司可能存在违规担保的重大报道、市场传闻的，董事会是否对公司全部担保行为进行核查，核实公司是否存在违规担保行为并及时披露核查结果。</w:t>
      </w:r>
    </w:p>
    <w:p>
      <w:pPr>
        <w:adjustRightInd w:val="0"/>
        <w:snapToGrid w:val="0"/>
        <w:spacing w:line="360" w:lineRule="auto"/>
        <w:ind w:firstLine="640" w:firstLineChars="200"/>
        <w:rPr>
          <w:rFonts w:ascii="仿宋_GB2312" w:eastAsia="仿宋_GB2312"/>
          <w:sz w:val="32"/>
          <w:szCs w:val="32"/>
        </w:rPr>
      </w:pPr>
      <w:r>
        <w:rPr>
          <w:rFonts w:ascii="仿宋_GB2312" w:hAnsi="宋体" w:eastAsia="仿宋_GB2312"/>
          <w:color w:val="000000" w:themeColor="text1"/>
          <w:sz w:val="32"/>
          <w:szCs w:val="32"/>
          <w14:textFill>
            <w14:solidFill>
              <w14:schemeClr w14:val="tx1"/>
            </w14:solidFill>
          </w14:textFill>
        </w:rPr>
        <w:t>4、</w:t>
      </w:r>
      <w:r>
        <w:rPr>
          <w:rFonts w:hint="eastAsia" w:ascii="仿宋_GB2312" w:eastAsia="仿宋_GB2312"/>
          <w:sz w:val="32"/>
          <w:szCs w:val="32"/>
        </w:rPr>
        <w:t>审计委员会是否持续关注公司提供担保事项的情况，监督及评估公司与担保相关的内部控制事宜，并就相关事项做好与会计师事务所的沟通。发现异常情况的，是否及时提请公司董事会采取相应措施。</w:t>
      </w:r>
    </w:p>
    <w:p>
      <w:pPr>
        <w:adjustRightInd w:val="0"/>
        <w:snapToGrid w:val="0"/>
        <w:spacing w:line="360" w:lineRule="auto"/>
        <w:ind w:firstLine="640" w:firstLineChars="200"/>
        <w:rPr>
          <w:rFonts w:ascii="仿宋_GB2312" w:eastAsia="仿宋_GB2312"/>
          <w:sz w:val="32"/>
          <w:szCs w:val="32"/>
        </w:rPr>
      </w:pPr>
      <w:r>
        <w:rPr>
          <w:rFonts w:ascii="仿宋_GB2312" w:eastAsia="仿宋_GB2312"/>
          <w:sz w:val="32"/>
          <w:szCs w:val="32"/>
        </w:rPr>
        <w:t>5、公司是否建立健全印章保管与使用管理制度，指定专人保管印章和登记使用情况，明确与担保事项相关的印章使用审批权限，做好与担保事项相关的印章使用登记。</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eastAsia="仿宋_GB2312"/>
          <w:sz w:val="32"/>
          <w:szCs w:val="32"/>
        </w:rPr>
        <w:t>6、公司发生违规担保行为的，是否及时披露，并采取合理、有效措施解除或者改正违规担保行为，降低公司损失，维护公司及中小股东的利益，并追究有关人员的责任。</w:t>
      </w:r>
    </w:p>
    <w:p>
      <w:pPr>
        <w:spacing w:line="360" w:lineRule="auto"/>
        <w:ind w:firstLine="640" w:firstLineChars="200"/>
        <w:outlineLvl w:val="2"/>
        <w:rPr>
          <w:rFonts w:ascii="仿宋_GB2312" w:hAnsi="宋体" w:eastAsia="仿宋_GB2312"/>
          <w:color w:val="000000"/>
          <w:sz w:val="32"/>
          <w:szCs w:val="32"/>
        </w:rPr>
      </w:pPr>
      <w:bookmarkStart w:id="135" w:name="_Toc105940653"/>
      <w:bookmarkStart w:id="136" w:name="_Toc76472383"/>
      <w:r>
        <w:rPr>
          <w:rFonts w:ascii="仿宋_GB2312" w:hAnsi="宋体" w:eastAsia="仿宋_GB2312"/>
          <w:color w:val="000000"/>
          <w:sz w:val="32"/>
          <w:szCs w:val="32"/>
        </w:rPr>
        <w:t xml:space="preserve">5.4.5  </w:t>
      </w:r>
      <w:r>
        <w:rPr>
          <w:rFonts w:hint="eastAsia" w:ascii="仿宋_GB2312" w:hAnsi="宋体" w:eastAsia="仿宋_GB2312"/>
          <w:color w:val="000000"/>
          <w:sz w:val="32"/>
          <w:szCs w:val="32"/>
        </w:rPr>
        <w:t>提供财务资助</w:t>
      </w:r>
      <w:bookmarkEnd w:id="135"/>
      <w:bookmarkEnd w:id="136"/>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关注</w:t>
      </w:r>
      <w:r>
        <w:rPr>
          <w:rFonts w:ascii="仿宋_GB2312" w:hAnsi="宋体" w:eastAsia="仿宋_GB2312"/>
          <w:color w:val="000000" w:themeColor="text1"/>
          <w:sz w:val="32"/>
          <w:szCs w:val="32"/>
          <w14:textFill>
            <w14:solidFill>
              <w14:schemeClr w14:val="tx1"/>
            </w14:solidFill>
          </w14:textFill>
        </w:rPr>
        <w:t>财务资助的合法合规性、</w:t>
      </w:r>
      <w:r>
        <w:rPr>
          <w:rFonts w:hint="eastAsia" w:ascii="仿宋_GB2312" w:hAnsi="宋体" w:eastAsia="仿宋_GB2312"/>
          <w:color w:val="000000" w:themeColor="text1"/>
          <w:sz w:val="32"/>
          <w:szCs w:val="32"/>
          <w14:textFill>
            <w14:solidFill>
              <w14:schemeClr w14:val="tx1"/>
            </w14:solidFill>
          </w14:textFill>
        </w:rPr>
        <w:t>财务资助对发行人</w:t>
      </w:r>
      <w:r>
        <w:rPr>
          <w:rFonts w:ascii="仿宋_GB2312" w:hAnsi="宋体" w:eastAsia="仿宋_GB2312"/>
          <w:color w:val="000000" w:themeColor="text1"/>
          <w:sz w:val="32"/>
          <w:szCs w:val="32"/>
          <w14:textFill>
            <w14:solidFill>
              <w14:schemeClr w14:val="tx1"/>
            </w14:solidFill>
          </w14:textFill>
        </w:rPr>
        <w:t>的影响及存在的风险。</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财务资助事项是否合法合规以及价格是否公允。</w:t>
      </w:r>
      <w:r>
        <w:rPr>
          <w:rFonts w:ascii="仿宋_GB2312" w:hAnsi="宋体" w:eastAsia="仿宋_GB2312"/>
          <w:color w:val="000000" w:themeColor="text1"/>
          <w:sz w:val="32"/>
          <w:szCs w:val="32"/>
          <w14:textFill>
            <w14:solidFill>
              <w14:schemeClr w14:val="tx1"/>
            </w14:solidFill>
          </w14:textFill>
        </w:rPr>
        <w:t xml:space="preserve"> </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3、关注不得对外提供财务资助的情形和人员，关注对外提供财务资助的审议流程合法合规性。</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4、对于已披露的财务资助事项，发行人应当在出现以下情形之一时，及时披露相关情况、已采取的补救措施及拟采取的措施，并充分说明董事会关于被资助对象偿债能力和该项财务资助收回风险的判断：</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1）被资助对象在约定资助期限到期后未能及时还款的；</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2）被资助对象或者就财务资助事项提供担保的第三方出现财务困难、资不抵债、现金流转困难、破产及其他严重影响还款能力情形的；逾期财务资助款项收回前，公司不得向同一对象追加提供财务资助。</w:t>
      </w:r>
    </w:p>
    <w:p>
      <w:pPr>
        <w:spacing w:line="360" w:lineRule="auto"/>
        <w:ind w:firstLine="640" w:firstLineChars="200"/>
        <w:outlineLvl w:val="2"/>
        <w:rPr>
          <w:rFonts w:ascii="仿宋_GB2312" w:hAnsi="宋体" w:eastAsia="仿宋_GB2312"/>
          <w:color w:val="000000"/>
          <w:sz w:val="32"/>
          <w:szCs w:val="32"/>
        </w:rPr>
      </w:pPr>
      <w:bookmarkStart w:id="137" w:name="_Toc76472384"/>
      <w:bookmarkStart w:id="138" w:name="_Toc105940654"/>
      <w:r>
        <w:rPr>
          <w:rFonts w:ascii="仿宋_GB2312" w:hAnsi="宋体" w:eastAsia="仿宋_GB2312"/>
          <w:color w:val="000000"/>
          <w:sz w:val="32"/>
          <w:szCs w:val="32"/>
        </w:rPr>
        <w:t xml:space="preserve">5.4.6  </w:t>
      </w:r>
      <w:r>
        <w:rPr>
          <w:rFonts w:hint="eastAsia" w:ascii="仿宋_GB2312" w:hAnsi="宋体" w:eastAsia="仿宋_GB2312"/>
          <w:color w:val="000000"/>
          <w:sz w:val="32"/>
          <w:szCs w:val="32"/>
        </w:rPr>
        <w:t>股份解除限售</w:t>
      </w:r>
      <w:bookmarkEnd w:id="137"/>
      <w:bookmarkEnd w:id="138"/>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结合</w:t>
      </w:r>
      <w:r>
        <w:rPr>
          <w:rFonts w:ascii="仿宋_GB2312" w:hAnsi="宋体" w:eastAsia="仿宋_GB2312"/>
          <w:color w:val="000000" w:themeColor="text1"/>
          <w:sz w:val="32"/>
          <w:szCs w:val="32"/>
          <w14:textFill>
            <w14:solidFill>
              <w14:schemeClr w14:val="tx1"/>
            </w14:solidFill>
          </w14:textFill>
        </w:rPr>
        <w:t>申请解除股份限售股东履行承诺情况</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本次解除限售股份的可上市流通日期</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本次解除限售股份数量</w:t>
      </w:r>
      <w:r>
        <w:rPr>
          <w:rFonts w:hint="eastAsia" w:ascii="仿宋_GB2312" w:hAnsi="宋体" w:eastAsia="仿宋_GB2312"/>
          <w:color w:val="000000" w:themeColor="text1"/>
          <w:sz w:val="32"/>
          <w:szCs w:val="32"/>
          <w14:textFill>
            <w14:solidFill>
              <w14:schemeClr w14:val="tx1"/>
            </w14:solidFill>
          </w14:textFill>
        </w:rPr>
        <w:t>以及</w:t>
      </w:r>
      <w:r>
        <w:rPr>
          <w:rFonts w:ascii="仿宋_GB2312" w:hAnsi="宋体" w:eastAsia="仿宋_GB2312"/>
          <w:color w:val="000000" w:themeColor="text1"/>
          <w:sz w:val="32"/>
          <w:szCs w:val="32"/>
          <w14:textFill>
            <w14:solidFill>
              <w14:schemeClr w14:val="tx1"/>
            </w14:solidFill>
          </w14:textFill>
        </w:rPr>
        <w:t>占公司股本总数的比例</w:t>
      </w:r>
      <w:r>
        <w:rPr>
          <w:rFonts w:hint="eastAsia" w:ascii="仿宋_GB2312" w:hAnsi="宋体" w:eastAsia="仿宋_GB2312"/>
          <w:color w:val="000000" w:themeColor="text1"/>
          <w:sz w:val="32"/>
          <w:szCs w:val="32"/>
          <w14:textFill>
            <w14:solidFill>
              <w14:schemeClr w14:val="tx1"/>
            </w14:solidFill>
          </w14:textFill>
        </w:rPr>
        <w:t>等资料，核查并关注</w:t>
      </w:r>
      <w:r>
        <w:rPr>
          <w:rFonts w:ascii="仿宋_GB2312" w:hAnsi="宋体" w:eastAsia="仿宋_GB2312"/>
          <w:color w:val="000000" w:themeColor="text1"/>
          <w:sz w:val="32"/>
          <w:szCs w:val="32"/>
          <w14:textFill>
            <w14:solidFill>
              <w14:schemeClr w14:val="tx1"/>
            </w14:solidFill>
          </w14:textFill>
        </w:rPr>
        <w:t>本次实际可上市流通股份数量占公司股本总数的比例计算是否准确</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发行人股东是否存在非经营性占用上市公司资金（包含募集资金）的情形，公司对其是否存在违规担保情况。</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3、发行人解除限售流程是否合法合规，信息披露是否真实、准确、完整、及时。</w:t>
      </w:r>
    </w:p>
    <w:p>
      <w:pPr>
        <w:spacing w:line="360" w:lineRule="auto"/>
        <w:ind w:firstLine="640" w:firstLineChars="200"/>
        <w:outlineLvl w:val="2"/>
        <w:rPr>
          <w:rFonts w:ascii="仿宋_GB2312" w:hAnsi="宋体" w:eastAsia="仿宋_GB2312"/>
          <w:color w:val="000000"/>
          <w:sz w:val="32"/>
          <w:szCs w:val="32"/>
        </w:rPr>
      </w:pPr>
      <w:bookmarkStart w:id="139" w:name="_Toc105940655"/>
      <w:bookmarkStart w:id="140" w:name="_Toc76472385"/>
      <w:r>
        <w:rPr>
          <w:rFonts w:ascii="仿宋_GB2312" w:hAnsi="宋体" w:eastAsia="仿宋_GB2312"/>
          <w:color w:val="000000"/>
          <w:sz w:val="32"/>
          <w:szCs w:val="32"/>
        </w:rPr>
        <w:t xml:space="preserve">5.4.7  </w:t>
      </w:r>
      <w:r>
        <w:rPr>
          <w:rFonts w:hint="eastAsia" w:ascii="仿宋_GB2312" w:hAnsi="宋体" w:eastAsia="仿宋_GB2312"/>
          <w:color w:val="000000"/>
          <w:sz w:val="32"/>
          <w:szCs w:val="32"/>
        </w:rPr>
        <w:t>证券投资</w:t>
      </w:r>
      <w:r>
        <w:rPr>
          <w:rFonts w:ascii="仿宋_GB2312" w:hAnsi="宋体" w:eastAsia="仿宋_GB2312"/>
          <w:color w:val="000000"/>
          <w:sz w:val="32"/>
          <w:szCs w:val="32"/>
        </w:rPr>
        <w:t>/风险投资</w:t>
      </w:r>
      <w:bookmarkEnd w:id="139"/>
      <w:bookmarkEnd w:id="140"/>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上市公司是否合理安排、使用资金致力发展公司主营业务，</w:t>
      </w:r>
      <w:r>
        <w:rPr>
          <w:rFonts w:ascii="仿宋_GB2312" w:hAnsi="宋体" w:eastAsia="仿宋_GB2312"/>
          <w:color w:val="000000" w:themeColor="text1"/>
          <w:sz w:val="32"/>
          <w:szCs w:val="32"/>
          <w14:textFill>
            <w14:solidFill>
              <w14:schemeClr w14:val="tx1"/>
            </w14:solidFill>
          </w14:textFill>
        </w:rPr>
        <w:t>用于证券投资的资金来源</w:t>
      </w:r>
      <w:r>
        <w:rPr>
          <w:rFonts w:hint="eastAsia" w:ascii="仿宋_GB2312" w:hAnsi="宋体" w:eastAsia="仿宋_GB2312"/>
          <w:color w:val="000000" w:themeColor="text1"/>
          <w:sz w:val="32"/>
          <w:szCs w:val="32"/>
          <w14:textFill>
            <w14:solidFill>
              <w14:schemeClr w14:val="tx1"/>
            </w14:solidFill>
          </w14:textFill>
        </w:rPr>
        <w:t>，是否属于募集资金，内部审议程序是否合规。</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bookmarkStart w:id="141" w:name="_Toc75792086"/>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发行人是否已经</w:t>
      </w:r>
      <w:r>
        <w:rPr>
          <w:rFonts w:ascii="仿宋_GB2312" w:hAnsi="宋体" w:eastAsia="仿宋_GB2312"/>
          <w:color w:val="000000" w:themeColor="text1"/>
          <w:sz w:val="32"/>
          <w:szCs w:val="32"/>
          <w14:textFill>
            <w14:solidFill>
              <w14:schemeClr w14:val="tx1"/>
            </w14:solidFill>
          </w14:textFill>
        </w:rPr>
        <w:t>承诺</w:t>
      </w:r>
      <w:r>
        <w:rPr>
          <w:rFonts w:hint="eastAsia" w:ascii="仿宋_GB2312" w:hAnsi="宋体" w:eastAsia="仿宋_GB2312"/>
          <w:color w:val="000000" w:themeColor="text1"/>
          <w:sz w:val="32"/>
          <w:szCs w:val="32"/>
          <w14:textFill>
            <w14:solidFill>
              <w14:schemeClr w14:val="tx1"/>
            </w14:solidFill>
          </w14:textFill>
        </w:rPr>
        <w:t>了</w:t>
      </w:r>
      <w:r>
        <w:rPr>
          <w:rFonts w:ascii="仿宋_GB2312" w:hAnsi="宋体" w:eastAsia="仿宋_GB2312"/>
          <w:color w:val="000000" w:themeColor="text1"/>
          <w:sz w:val="32"/>
          <w:szCs w:val="32"/>
          <w14:textFill>
            <w14:solidFill>
              <w14:schemeClr w14:val="tx1"/>
            </w14:solidFill>
          </w14:textFill>
        </w:rPr>
        <w:t>补充流动资金后十二个月内不进行证券投资、衍生品交易等高风险投资及为控股子公司以外的对象提供财务资助并对外披露</w:t>
      </w:r>
      <w:r>
        <w:rPr>
          <w:rFonts w:hint="eastAsia" w:ascii="仿宋_GB2312" w:hAnsi="宋体" w:eastAsia="仿宋_GB2312"/>
          <w:color w:val="000000" w:themeColor="text1"/>
          <w:sz w:val="32"/>
          <w:szCs w:val="32"/>
          <w14:textFill>
            <w14:solidFill>
              <w14:schemeClr w14:val="tx1"/>
            </w14:solidFill>
          </w14:textFill>
        </w:rPr>
        <w:t>，以及是否违反了相关承诺。</w:t>
      </w:r>
    </w:p>
    <w:p>
      <w:pPr>
        <w:spacing w:line="360" w:lineRule="auto"/>
        <w:ind w:firstLine="640" w:firstLineChars="200"/>
        <w:outlineLvl w:val="2"/>
        <w:rPr>
          <w:rFonts w:ascii="仿宋_GB2312" w:hAnsi="宋体" w:eastAsia="仿宋_GB2312"/>
          <w:color w:val="000000"/>
          <w:sz w:val="32"/>
          <w:szCs w:val="32"/>
        </w:rPr>
      </w:pPr>
      <w:bookmarkStart w:id="142" w:name="_Toc105940656"/>
      <w:bookmarkStart w:id="143" w:name="_Toc76472386"/>
      <w:r>
        <w:rPr>
          <w:rFonts w:ascii="仿宋_GB2312" w:hAnsi="宋体" w:eastAsia="仿宋_GB2312"/>
          <w:color w:val="000000"/>
          <w:sz w:val="32"/>
          <w:szCs w:val="32"/>
        </w:rPr>
        <w:t xml:space="preserve">5.4.8  </w:t>
      </w:r>
      <w:r>
        <w:rPr>
          <w:rFonts w:hint="eastAsia" w:ascii="仿宋_GB2312" w:hAnsi="宋体" w:eastAsia="仿宋_GB2312"/>
          <w:color w:val="000000"/>
          <w:sz w:val="32"/>
          <w:szCs w:val="32"/>
        </w:rPr>
        <w:t>衍生品交易</w:t>
      </w:r>
      <w:r>
        <w:rPr>
          <w:rFonts w:ascii="仿宋_GB2312" w:hAnsi="宋体" w:eastAsia="仿宋_GB2312"/>
          <w:color w:val="000000"/>
          <w:sz w:val="32"/>
          <w:szCs w:val="32"/>
        </w:rPr>
        <w:t>/套期保值</w:t>
      </w:r>
      <w:bookmarkEnd w:id="141"/>
      <w:bookmarkEnd w:id="142"/>
      <w:bookmarkEnd w:id="143"/>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公司从事套期保值业务的期货品种是否仅限于与公司生产经营相关的产品或者所需的原材料。</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公司进行商品期货套期保值业务的必要性、可行性、套期保值业务内部控制和风险管理制度是否完善、风险控制措施是否有效等</w:t>
      </w:r>
      <w:r>
        <w:rPr>
          <w:rFonts w:hint="eastAsia" w:ascii="仿宋_GB2312" w:hAnsi="宋体" w:eastAsia="仿宋_GB2312"/>
          <w:color w:val="000000" w:themeColor="text1"/>
          <w:sz w:val="32"/>
          <w:szCs w:val="32"/>
          <w14:textFill>
            <w14:solidFill>
              <w14:schemeClr w14:val="tx1"/>
            </w14:solidFill>
          </w14:textFill>
        </w:rPr>
        <w:t>，相关事项的</w:t>
      </w:r>
      <w:r>
        <w:rPr>
          <w:rFonts w:ascii="仿宋_GB2312" w:hAnsi="宋体" w:eastAsia="仿宋_GB2312"/>
          <w:color w:val="000000" w:themeColor="text1"/>
          <w:sz w:val="32"/>
          <w:szCs w:val="32"/>
          <w14:textFill>
            <w14:solidFill>
              <w14:schemeClr w14:val="tx1"/>
            </w14:solidFill>
          </w14:textFill>
        </w:rPr>
        <w:t>审议流程是否合规</w:t>
      </w:r>
      <w:r>
        <w:rPr>
          <w:rFonts w:hint="eastAsia" w:ascii="仿宋_GB2312" w:hAnsi="宋体" w:eastAsia="仿宋_GB2312"/>
          <w:color w:val="000000" w:themeColor="text1"/>
          <w:sz w:val="32"/>
          <w:szCs w:val="32"/>
          <w14:textFill>
            <w14:solidFill>
              <w14:schemeClr w14:val="tx1"/>
            </w14:solidFill>
          </w14:textFill>
        </w:rPr>
        <w:t>。</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、公司董事会是否持续跟踪证券投资与衍生品交易的执行进展和投资安全状况，如出现投资发生较大损失等异常情况的，是否立即采取措施并按规定履行披露义务。</w:t>
      </w:r>
    </w:p>
    <w:p>
      <w:pPr>
        <w:spacing w:line="360" w:lineRule="auto"/>
        <w:ind w:firstLine="640" w:firstLineChars="200"/>
        <w:outlineLvl w:val="2"/>
        <w:rPr>
          <w:rFonts w:ascii="仿宋_GB2312" w:hAnsi="宋体" w:eastAsia="仿宋_GB2312"/>
          <w:color w:val="000000"/>
          <w:sz w:val="32"/>
          <w:szCs w:val="32"/>
        </w:rPr>
      </w:pPr>
      <w:bookmarkStart w:id="144" w:name="_Toc76472387"/>
      <w:bookmarkStart w:id="145" w:name="_Toc105940657"/>
      <w:r>
        <w:rPr>
          <w:rFonts w:ascii="仿宋_GB2312" w:hAnsi="宋体" w:eastAsia="仿宋_GB2312"/>
          <w:color w:val="000000"/>
          <w:sz w:val="32"/>
          <w:szCs w:val="32"/>
        </w:rPr>
        <w:t xml:space="preserve">5.4.9  </w:t>
      </w:r>
      <w:r>
        <w:rPr>
          <w:rFonts w:hint="eastAsia" w:ascii="仿宋_GB2312" w:hAnsi="宋体" w:eastAsia="仿宋_GB2312"/>
          <w:color w:val="000000"/>
          <w:sz w:val="32"/>
          <w:szCs w:val="32"/>
        </w:rPr>
        <w:t>委托理财</w:t>
      </w:r>
      <w:bookmarkEnd w:id="144"/>
      <w:bookmarkEnd w:id="145"/>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1、不鼓励公司使用自有资金进行证券投资和衍生品交易</w:t>
      </w:r>
      <w:r>
        <w:rPr>
          <w:rFonts w:hint="eastAsia" w:ascii="仿宋_GB2312" w:hAnsi="宋体" w:eastAsia="仿宋_GB2312"/>
          <w:color w:val="000000" w:themeColor="text1"/>
          <w:sz w:val="32"/>
          <w:szCs w:val="32"/>
          <w14:textFill>
            <w14:solidFill>
              <w14:schemeClr w14:val="tx1"/>
            </w14:solidFill>
          </w14:textFill>
        </w:rPr>
        <w:t>等高风险投资</w:t>
      </w:r>
      <w:r>
        <w:rPr>
          <w:rFonts w:ascii="仿宋_GB2312" w:hAnsi="宋体" w:eastAsia="仿宋_GB2312"/>
          <w:color w:val="000000" w:themeColor="text1"/>
          <w:sz w:val="32"/>
          <w:szCs w:val="32"/>
          <w14:textFill>
            <w14:solidFill>
              <w14:schemeClr w14:val="tx1"/>
            </w14:solidFill>
          </w14:textFill>
        </w:rPr>
        <w:t>。公司经过慎重考虑后，仍决定开展前述投资的，应当制定严格的决策程序、报告制度和监控措施，并根据公司的风险承受能力合理确定投资规模及期限。公司进行委托理财的，应当选择资信状况及财务状况良好，无不良诚信记录及盈利能力强的合格专业理财机构作为受托方，并与受托方签订书面合同，明确委托理财的金额、期限、投资</w:t>
      </w:r>
      <w:r>
        <w:rPr>
          <w:rFonts w:hint="eastAsia" w:ascii="仿宋_GB2312" w:hAnsi="宋体" w:eastAsia="仿宋_GB2312"/>
          <w:color w:val="000000" w:themeColor="text1"/>
          <w:sz w:val="32"/>
          <w:szCs w:val="32"/>
          <w14:textFill>
            <w14:solidFill>
              <w14:schemeClr w14:val="tx1"/>
            </w14:solidFill>
          </w14:textFill>
        </w:rPr>
        <w:t>品种、双方的权利义务及法律责任等。</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是否按照相关规定履行了内部审议程序和信息披露</w:t>
      </w:r>
      <w:r>
        <w:rPr>
          <w:rFonts w:ascii="仿宋_GB2312" w:hAnsi="宋体" w:eastAsia="仿宋_GB2312"/>
          <w:color w:val="000000" w:themeColor="text1"/>
          <w:sz w:val="32"/>
          <w:szCs w:val="32"/>
          <w14:textFill>
            <w14:solidFill>
              <w14:schemeClr w14:val="tx1"/>
            </w14:solidFill>
          </w14:textFill>
        </w:rPr>
        <w:t>。</w:t>
      </w:r>
    </w:p>
    <w:p>
      <w:pPr>
        <w:spacing w:line="360" w:lineRule="auto"/>
        <w:ind w:firstLine="640" w:firstLineChars="200"/>
        <w:outlineLvl w:val="2"/>
        <w:rPr>
          <w:rFonts w:ascii="仿宋_GB2312" w:hAnsi="宋体" w:eastAsia="仿宋_GB2312"/>
          <w:color w:val="000000" w:themeColor="text1"/>
          <w:sz w:val="32"/>
          <w:szCs w:val="32"/>
          <w14:textFill>
            <w14:solidFill>
              <w14:schemeClr w14:val="tx1"/>
            </w14:solidFill>
          </w14:textFill>
        </w:rPr>
      </w:pPr>
      <w:bookmarkStart w:id="146" w:name="_Toc105940658"/>
      <w:bookmarkStart w:id="147" w:name="_Toc76472388"/>
      <w:r>
        <w:rPr>
          <w:rFonts w:ascii="仿宋_GB2312" w:hAnsi="宋体" w:eastAsia="仿宋_GB2312"/>
          <w:color w:val="000000" w:themeColor="text1"/>
          <w:sz w:val="32"/>
          <w:szCs w:val="32"/>
          <w14:textFill>
            <w14:solidFill>
              <w14:schemeClr w14:val="tx1"/>
            </w14:solidFill>
          </w14:textFill>
        </w:rPr>
        <w:t xml:space="preserve">5.4.10 </w:t>
      </w:r>
      <w:r>
        <w:rPr>
          <w:rFonts w:hint="eastAsia" w:ascii="仿宋_GB2312" w:hAnsi="宋体" w:eastAsia="仿宋_GB2312"/>
          <w:color w:val="000000" w:themeColor="text1"/>
          <w:sz w:val="32"/>
          <w:szCs w:val="32"/>
          <w14:textFill>
            <w14:solidFill>
              <w14:schemeClr w14:val="tx1"/>
            </w14:solidFill>
          </w14:textFill>
        </w:rPr>
        <w:t>日常经营重大合同</w:t>
      </w:r>
      <w:bookmarkEnd w:id="146"/>
      <w:bookmarkEnd w:id="147"/>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公司签署日常经营活动相关的采购、销售、工程承包、劳务合作等重大合同达到相应金额的，是否及时披露合同重大风险提示、合同各方情况介绍、合同主要内容、合同履行对公司的影响、合同的审议程序等事项。</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2、公司是否及时披露重大合同的进展情况，包括但不限于合同生效或者合同履行发生重大变化或者出现重大不确定性、合同提前解除、合同终止等。</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、在现场检查中对上市公司重大合同履行情况进行核查，并在现场检查报告中充分说明重大合同的履行是否发生重大变化，是否存在无法履行的重大风险等。</w:t>
      </w:r>
    </w:p>
    <w:p>
      <w:pPr>
        <w:adjustRightInd w:val="0"/>
        <w:snapToGrid w:val="0"/>
        <w:spacing w:line="360" w:lineRule="auto"/>
        <w:ind w:firstLine="640" w:firstLineChars="200"/>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w:t>
      </w:r>
      <w:r>
        <w:rPr>
          <w:rFonts w:hint="eastAsia" w:ascii="仿宋_GB2312" w:hAnsi="宋体" w:eastAsia="仿宋_GB2312"/>
          <w:color w:val="000000" w:themeColor="text1"/>
          <w:sz w:val="32"/>
          <w:szCs w:val="32"/>
          <w14:textFill>
            <w14:solidFill>
              <w14:schemeClr w14:val="tx1"/>
            </w14:solidFill>
          </w14:textFill>
        </w:rPr>
        <w:t>、持续督导期间，对公司和交易对方的履约能力出具专项意见（深交所适用）。</w:t>
      </w:r>
    </w:p>
    <w:p>
      <w:pPr>
        <w:adjustRightInd w:val="0"/>
        <w:snapToGrid w:val="0"/>
        <w:spacing w:line="360" w:lineRule="auto"/>
        <w:rPr>
          <w:rFonts w:ascii="仿宋_GB2312" w:hAnsi="宋体" w:eastAsia="仿宋_GB2312"/>
          <w:color w:val="000000" w:themeColor="text1"/>
          <w:sz w:val="32"/>
          <w:szCs w:val="32"/>
          <w14:textFill>
            <w14:solidFill>
              <w14:schemeClr w14:val="tx1"/>
            </w14:solidFill>
          </w14:textFill>
        </w:rPr>
      </w:pPr>
    </w:p>
    <w:p>
      <w:pPr>
        <w:pStyle w:val="33"/>
        <w:spacing w:before="0" w:after="0" w:line="360" w:lineRule="auto"/>
        <w:rPr>
          <w:rFonts w:ascii="仿宋_GB2312" w:hAnsi="宋体" w:eastAsia="仿宋_GB2312"/>
          <w:color w:val="000000" w:themeColor="text1"/>
          <w:sz w:val="32"/>
          <w14:textFill>
            <w14:solidFill>
              <w14:schemeClr w14:val="tx1"/>
            </w14:solidFill>
          </w14:textFill>
        </w:rPr>
      </w:pPr>
      <w:bookmarkStart w:id="148" w:name="_Toc76472396"/>
      <w:bookmarkStart w:id="149" w:name="_Toc105940659"/>
      <w:r>
        <w:rPr>
          <w:rFonts w:hint="eastAsia" w:ascii="仿宋_GB2312" w:hAnsi="宋体" w:eastAsia="仿宋_GB2312"/>
          <w:color w:val="000000" w:themeColor="text1"/>
          <w:sz w:val="32"/>
          <w14:textFill>
            <w14:solidFill>
              <w14:schemeClr w14:val="tx1"/>
            </w14:solidFill>
          </w14:textFill>
        </w:rPr>
        <w:t>第六章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附则</w:t>
      </w:r>
      <w:bookmarkEnd w:id="148"/>
      <w:bookmarkEnd w:id="149"/>
    </w:p>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6.1  </w:t>
      </w:r>
      <w:r>
        <w:rPr>
          <w:rFonts w:hint="eastAsia" w:ascii="仿宋_GB2312" w:hAnsi="宋体" w:eastAsia="仿宋_GB2312"/>
          <w:color w:val="000000" w:themeColor="text1"/>
          <w:sz w:val="32"/>
          <w:szCs w:val="32"/>
          <w14:textFill>
            <w14:solidFill>
              <w14:schemeClr w14:val="tx1"/>
            </w14:solidFill>
          </w14:textFill>
        </w:rPr>
        <w:t>本示范实践与证监会、交易所等有关规定不一致的，以其规定为准。</w:t>
      </w:r>
    </w:p>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bookmarkStart w:id="150" w:name="_Hlk29993192"/>
      <w:r>
        <w:rPr>
          <w:rFonts w:ascii="仿宋_GB2312" w:hAnsi="宋体" w:eastAsia="仿宋_GB2312"/>
          <w:color w:val="000000" w:themeColor="text1"/>
          <w:sz w:val="32"/>
          <w:szCs w:val="32"/>
          <w14:textFill>
            <w14:solidFill>
              <w14:schemeClr w14:val="tx1"/>
            </w14:solidFill>
          </w14:textFill>
        </w:rPr>
        <w:t xml:space="preserve">6.2  </w:t>
      </w:r>
      <w:r>
        <w:rPr>
          <w:rFonts w:hint="eastAsia" w:ascii="仿宋_GB2312" w:hAnsi="宋体" w:eastAsia="仿宋_GB2312"/>
          <w:color w:val="000000" w:themeColor="text1"/>
          <w:sz w:val="32"/>
          <w:szCs w:val="32"/>
          <w14:textFill>
            <w14:solidFill>
              <w14:schemeClr w14:val="tx1"/>
            </w14:solidFill>
          </w14:textFill>
        </w:rPr>
        <w:t>本示范实践由中国证券业协会制定和解释。</w:t>
      </w:r>
      <w:bookmarkEnd w:id="150"/>
    </w:p>
    <w:p>
      <w:pPr>
        <w:adjustRightInd w:val="0"/>
        <w:snapToGrid w:val="0"/>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sectPr>
          <w:pgSz w:w="11906" w:h="16838"/>
          <w:pgMar w:top="1440" w:right="1797" w:bottom="1440" w:left="1797" w:header="851" w:footer="992" w:gutter="0"/>
          <w:pgNumType w:start="1"/>
          <w:cols w:space="720" w:num="1"/>
          <w:docGrid w:linePitch="312" w:charSpace="0"/>
        </w:sectPr>
      </w:pPr>
      <w:r>
        <w:rPr>
          <w:rFonts w:ascii="仿宋_GB2312" w:hAnsi="宋体" w:eastAsia="仿宋_GB2312"/>
          <w:color w:val="000000" w:themeColor="text1"/>
          <w:sz w:val="32"/>
          <w:szCs w:val="32"/>
          <w14:textFill>
            <w14:solidFill>
              <w14:schemeClr w14:val="tx1"/>
            </w14:solidFill>
          </w14:textFill>
        </w:rPr>
        <w:t xml:space="preserve">6.3  </w:t>
      </w:r>
      <w:r>
        <w:rPr>
          <w:rFonts w:hint="eastAsia" w:ascii="仿宋_GB2312" w:hAnsi="宋体" w:eastAsia="仿宋_GB2312"/>
          <w:color w:val="000000" w:themeColor="text1"/>
          <w:sz w:val="32"/>
          <w:szCs w:val="32"/>
          <w14:textFill>
            <w14:solidFill>
              <w14:schemeClr w14:val="tx1"/>
            </w14:solidFill>
          </w14:textFill>
        </w:rPr>
        <w:t>本示范实践自发布之日起</w:t>
      </w:r>
      <w:r>
        <w:rPr>
          <w:rFonts w:hint="eastAsia" w:ascii="仿宋_GB2312" w:hAnsi="宋体" w:eastAsia="仿宋_GB2312"/>
          <w:color w:val="000000" w:themeColor="text1"/>
          <w:sz w:val="32"/>
          <w:szCs w:val="32"/>
          <w:lang w:eastAsia="zh-CN"/>
          <w14:textFill>
            <w14:solidFill>
              <w14:schemeClr w14:val="tx1"/>
            </w14:solidFill>
          </w14:textFill>
        </w:rPr>
        <w:t>施行</w:t>
      </w:r>
      <w:r>
        <w:rPr>
          <w:rFonts w:hint="eastAsia" w:ascii="仿宋_GB2312" w:hAnsi="宋体" w:eastAsia="仿宋_GB2312"/>
          <w:color w:val="000000" w:themeColor="text1"/>
          <w:sz w:val="32"/>
          <w:szCs w:val="32"/>
          <w14:textFill>
            <w14:solidFill>
              <w14:schemeClr w14:val="tx1"/>
            </w14:solidFill>
          </w14:textFill>
        </w:rPr>
        <w:t>。</w:t>
      </w:r>
    </w:p>
    <w:p>
      <w:pPr>
        <w:pStyle w:val="33"/>
        <w:spacing w:before="0" w:after="0" w:line="360" w:lineRule="auto"/>
        <w:jc w:val="left"/>
        <w:outlineLvl w:val="1"/>
        <w:rPr>
          <w:rFonts w:ascii="仿宋_GB2312" w:hAnsi="宋体" w:eastAsia="仿宋_GB2312"/>
          <w:color w:val="000000" w:themeColor="text1"/>
          <w:sz w:val="32"/>
          <w14:textFill>
            <w14:solidFill>
              <w14:schemeClr w14:val="tx1"/>
            </w14:solidFill>
          </w14:textFill>
        </w:rPr>
      </w:pPr>
      <w:bookmarkStart w:id="151" w:name="_Toc75645997"/>
      <w:bookmarkStart w:id="152" w:name="_Toc105940660"/>
      <w:bookmarkStart w:id="153" w:name="_Toc75688171"/>
      <w:bookmarkStart w:id="154" w:name="_Toc76472397"/>
      <w:bookmarkStart w:id="155" w:name="_Toc75792096"/>
      <w:r>
        <w:rPr>
          <w:rFonts w:hint="eastAsia" w:ascii="仿宋_GB2312" w:hAnsi="宋体" w:eastAsia="仿宋_GB2312"/>
          <w:color w:val="000000" w:themeColor="text1"/>
          <w:sz w:val="32"/>
          <w14:textFill>
            <w14:solidFill>
              <w14:schemeClr w14:val="tx1"/>
            </w14:solidFill>
          </w14:textFill>
        </w:rPr>
        <w:t>附件</w:t>
      </w:r>
      <w:r>
        <w:rPr>
          <w:rFonts w:ascii="仿宋_GB2312" w:hAnsi="宋体" w:eastAsia="仿宋_GB2312"/>
          <w:color w:val="000000" w:themeColor="text1"/>
          <w:sz w:val="32"/>
          <w14:textFill>
            <w14:solidFill>
              <w14:schemeClr w14:val="tx1"/>
            </w14:solidFill>
          </w14:textFill>
        </w:rPr>
        <w:t>1</w:t>
      </w:r>
      <w:bookmarkEnd w:id="151"/>
      <w:bookmarkEnd w:id="152"/>
      <w:bookmarkEnd w:id="153"/>
      <w:bookmarkEnd w:id="154"/>
      <w:r>
        <w:rPr>
          <w:rFonts w:ascii="仿宋_GB2312" w:hAnsi="宋体" w:eastAsia="仿宋_GB2312"/>
          <w:color w:val="000000" w:themeColor="text1"/>
          <w:sz w:val="32"/>
          <w14:textFill>
            <w14:solidFill>
              <w14:schemeClr w14:val="tx1"/>
            </w14:solidFill>
          </w14:textFill>
        </w:rPr>
        <w:t xml:space="preserve"> </w:t>
      </w:r>
    </w:p>
    <w:p>
      <w:pPr>
        <w:pStyle w:val="33"/>
        <w:spacing w:before="0" w:after="0" w:line="360" w:lineRule="auto"/>
        <w:outlineLvl w:val="1"/>
        <w:rPr>
          <w:rFonts w:ascii="仿宋_GB2312" w:hAnsi="宋体" w:eastAsia="仿宋_GB2312"/>
          <w:color w:val="000000" w:themeColor="text1"/>
          <w:sz w:val="32"/>
          <w14:textFill>
            <w14:solidFill>
              <w14:schemeClr w14:val="tx1"/>
            </w14:solidFill>
          </w14:textFill>
        </w:rPr>
      </w:pPr>
      <w:bookmarkStart w:id="156" w:name="_Toc1186768105"/>
      <w:bookmarkStart w:id="157" w:name="_Toc105940661"/>
      <w:bookmarkStart w:id="158" w:name="_Toc76471938"/>
      <w:bookmarkStart w:id="159" w:name="_Toc76472398"/>
      <w:r>
        <w:rPr>
          <w:rFonts w:hint="eastAsia" w:ascii="仿宋_GB2312" w:hAnsi="宋体" w:eastAsia="仿宋_GB2312"/>
          <w:color w:val="000000" w:themeColor="text1"/>
          <w:sz w:val="32"/>
          <w14:textFill>
            <w14:solidFill>
              <w14:schemeClr w14:val="tx1"/>
            </w14:solidFill>
          </w14:textFill>
        </w:rPr>
        <w:t>特定行业保荐人尽职调查工作指南第</w:t>
      </w:r>
      <w:r>
        <w:rPr>
          <w:rFonts w:ascii="仿宋_GB2312" w:hAnsi="宋体" w:eastAsia="仿宋_GB2312"/>
          <w:color w:val="000000" w:themeColor="text1"/>
          <w:sz w:val="32"/>
          <w14:textFill>
            <w14:solidFill>
              <w14:schemeClr w14:val="tx1"/>
            </w14:solidFill>
          </w14:textFill>
        </w:rPr>
        <w:t>1号</w:t>
      </w:r>
      <w:bookmarkEnd w:id="156"/>
      <w:bookmarkEnd w:id="157"/>
      <w:bookmarkEnd w:id="158"/>
      <w:bookmarkEnd w:id="159"/>
    </w:p>
    <w:p>
      <w:pPr>
        <w:pStyle w:val="33"/>
        <w:spacing w:before="0" w:after="0" w:line="360" w:lineRule="auto"/>
        <w:outlineLvl w:val="1"/>
      </w:pPr>
      <w:bookmarkStart w:id="160" w:name="_Toc76472399"/>
      <w:bookmarkStart w:id="161" w:name="_Toc76471939"/>
      <w:bookmarkStart w:id="162" w:name="_Toc1712845911"/>
      <w:bookmarkStart w:id="163" w:name="_Toc105940662"/>
      <w:r>
        <w:rPr>
          <w:rFonts w:hint="eastAsia" w:ascii="仿宋_GB2312" w:hAnsi="宋体" w:eastAsia="仿宋_GB2312"/>
          <w:color w:val="000000" w:themeColor="text1"/>
          <w:sz w:val="32"/>
          <w14:textFill>
            <w14:solidFill>
              <w14:schemeClr w14:val="tx1"/>
            </w14:solidFill>
          </w14:textFill>
        </w:rPr>
        <w:t>——工程类企业</w:t>
      </w:r>
      <w:bookmarkEnd w:id="155"/>
      <w:bookmarkEnd w:id="160"/>
      <w:bookmarkEnd w:id="161"/>
      <w:bookmarkEnd w:id="162"/>
      <w:bookmarkEnd w:id="163"/>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164" w:name="_Toc75792097"/>
      <w:bookmarkStart w:id="165" w:name="_Toc1511741379"/>
      <w:bookmarkStart w:id="166" w:name="_Toc76339956"/>
      <w:bookmarkStart w:id="167" w:name="_Toc75645998"/>
      <w:bookmarkStart w:id="168" w:name="_Toc75688173"/>
      <w:r>
        <w:rPr>
          <w:rFonts w:hint="eastAsia" w:ascii="仿宋_GB2312" w:hAnsi="宋体" w:eastAsia="仿宋_GB2312"/>
          <w:color w:val="000000" w:themeColor="text1"/>
          <w:sz w:val="32"/>
          <w14:textFill>
            <w14:solidFill>
              <w14:schemeClr w14:val="tx1"/>
            </w14:solidFill>
          </w14:textFill>
        </w:rPr>
        <w:t>第一章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引言</w:t>
      </w:r>
      <w:bookmarkEnd w:id="164"/>
      <w:bookmarkEnd w:id="165"/>
      <w:bookmarkEnd w:id="166"/>
      <w:bookmarkEnd w:id="167"/>
      <w:bookmarkEnd w:id="168"/>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1.1 本指南旨在根据工程类企业的业务特点、审核过程中重点关注问题并结合影响工程类企业合法合</w:t>
      </w:r>
      <w:r>
        <w:rPr>
          <w:rFonts w:hint="eastAsia" w:ascii="仿宋_GB2312" w:hAnsi="宋体" w:eastAsia="仿宋_GB2312"/>
          <w:color w:val="000000"/>
          <w:sz w:val="32"/>
          <w:szCs w:val="32"/>
        </w:rPr>
        <w:t>规及持续经营的主要因素，提示上述事项在保荐人尽职调查过程中需要关注的主要风险和问题，以及</w:t>
      </w:r>
      <w:r>
        <w:rPr>
          <w:rFonts w:hint="eastAsia" w:ascii="仿宋_GB2312" w:hAnsi="宋体" w:eastAsia="仿宋_GB2312"/>
          <w:color w:val="000000" w:themeColor="text1"/>
          <w:sz w:val="32"/>
          <w:szCs w:val="32"/>
          <w14:textFill>
            <w14:solidFill>
              <w14:schemeClr w14:val="tx1"/>
            </w14:solidFill>
          </w14:textFill>
        </w:rPr>
        <w:t>针对上述风险和问题所应采取的一般性核查方法。保荐人可针对企业的具体业务特点、风险判断及重要性原则，选择性采用、补充或完善。</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1.2 本指南适用于</w:t>
      </w:r>
      <w:r>
        <w:rPr>
          <w:rFonts w:hint="eastAsia" w:ascii="仿宋_GB2312" w:hAnsi="宋体" w:eastAsia="仿宋_GB2312"/>
          <w:color w:val="000000"/>
          <w:sz w:val="32"/>
          <w:szCs w:val="32"/>
        </w:rPr>
        <w:t>拟首次公开发行</w:t>
      </w:r>
      <w:r>
        <w:rPr>
          <w:rFonts w:ascii="仿宋_GB2312" w:hAnsi="宋体" w:eastAsia="仿宋_GB2312"/>
          <w:color w:val="000000"/>
          <w:sz w:val="32"/>
          <w:szCs w:val="32"/>
        </w:rPr>
        <w:t>A股股票或存托凭证的环保工程、园林、装饰、设计、通信工程、系统集成、建筑等工程类企业的尽职调查，其他企业如果主营业务中包括工程类业务的也可参照本提示有关内容开展相关工作。</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1.3 </w:t>
      </w:r>
      <w:r>
        <w:rPr>
          <w:rFonts w:hint="eastAsia" w:ascii="仿宋_GB2312" w:hAnsi="宋体" w:eastAsia="仿宋_GB2312"/>
          <w:color w:val="000000"/>
          <w:sz w:val="32"/>
          <w:szCs w:val="32"/>
        </w:rPr>
        <w:t>保荐人对工程类企业的尽职调查在适用本指南时，还应当同时遵守《保荐人尽职调查工作准则》中的各项规定。</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169" w:name="_Toc75688174"/>
      <w:bookmarkStart w:id="170" w:name="_Toc75792098"/>
      <w:bookmarkStart w:id="171" w:name="_Toc2129682219"/>
      <w:bookmarkStart w:id="172" w:name="_Toc76339957"/>
      <w:bookmarkStart w:id="173" w:name="_Toc75645999"/>
      <w:r>
        <w:rPr>
          <w:rFonts w:hint="eastAsia" w:ascii="仿宋_GB2312" w:hAnsi="宋体" w:eastAsia="仿宋_GB2312"/>
          <w:color w:val="000000" w:themeColor="text1"/>
          <w:sz w:val="32"/>
          <w14:textFill>
            <w14:solidFill>
              <w14:schemeClr w14:val="tx1"/>
            </w14:solidFill>
          </w14:textFill>
        </w:rPr>
        <w:t>第二章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经营资质</w:t>
      </w:r>
      <w:bookmarkEnd w:id="169"/>
      <w:bookmarkEnd w:id="170"/>
      <w:bookmarkEnd w:id="171"/>
      <w:bookmarkEnd w:id="172"/>
      <w:bookmarkEnd w:id="173"/>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2.1 </w:t>
      </w:r>
      <w:r>
        <w:rPr>
          <w:rFonts w:hint="eastAsia" w:ascii="仿宋_GB2312" w:hAnsi="宋体" w:eastAsia="仿宋_GB2312"/>
          <w:color w:val="000000"/>
          <w:sz w:val="32"/>
          <w:szCs w:val="32"/>
        </w:rPr>
        <w:t>通过取得发行人及其子公司各个法律主体及特定岗位人员所需要的资质文件（包括报告期内已到期或更换），并结合查询相关法律法规、走访主管部门和客户、发行人报告期签订和履行的合同条款等方式，调查和了解发行人及其子公司是否具备生产经营所必要的全部业务资质。</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2.2 </w:t>
      </w:r>
      <w:r>
        <w:rPr>
          <w:rFonts w:hint="eastAsia" w:ascii="仿宋_GB2312" w:hAnsi="宋体" w:eastAsia="仿宋_GB2312"/>
          <w:color w:val="000000"/>
          <w:sz w:val="32"/>
          <w:szCs w:val="32"/>
        </w:rPr>
        <w:t>关注发行人及其子公司取得的业务资质的相应审批主体、资质或证书的有效期，分析和判断是否存在到期后无法续期的风险，并结合相关资质和证书对发行人生产经营的影响和重要程度判断若无法续期对发行人的影响。</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2.3 </w:t>
      </w:r>
      <w:r>
        <w:rPr>
          <w:rFonts w:hint="eastAsia" w:ascii="仿宋_GB2312" w:hAnsi="宋体" w:eastAsia="仿宋_GB2312"/>
          <w:color w:val="000000"/>
          <w:sz w:val="32"/>
          <w:szCs w:val="32"/>
        </w:rPr>
        <w:t>了解发行人及其子公司所拥有的资质需要具备的条件，关注发行人在获取相关资质的过程中是否实际符合相关申请条件，业务资质取得是否存在重大风险。</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2.4 </w:t>
      </w:r>
      <w:r>
        <w:rPr>
          <w:rFonts w:hint="eastAsia" w:ascii="仿宋_GB2312" w:hAnsi="宋体" w:eastAsia="仿宋_GB2312"/>
          <w:color w:val="000000"/>
          <w:sz w:val="32"/>
          <w:szCs w:val="32"/>
        </w:rPr>
        <w:t>取得发行人报告期签订和履行的主要合同，关注发行人是否存在超越资质核准范围获取或履行业务的情形，若存在超越资质经营的，关注是否构成违法违规、是否受到或可能受到相关主管部门的处罚、是否取得了资质颁发部门对超资质经营的意见，了解所涉业务已确认收入和合同的履行情况，是否存在可能的诉讼、纠纷及导致合同无效或被撤销的情形。</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174" w:name="_Toc75646000"/>
      <w:bookmarkStart w:id="175" w:name="_Toc75688175"/>
      <w:bookmarkStart w:id="176" w:name="_Toc75792099"/>
      <w:bookmarkStart w:id="177" w:name="_Toc76339958"/>
      <w:bookmarkStart w:id="178" w:name="_Toc484058805"/>
      <w:r>
        <w:rPr>
          <w:rFonts w:hint="eastAsia" w:ascii="仿宋_GB2312" w:hAnsi="宋体" w:eastAsia="仿宋_GB2312"/>
          <w:color w:val="000000" w:themeColor="text1"/>
          <w:sz w:val="32"/>
          <w14:textFill>
            <w14:solidFill>
              <w14:schemeClr w14:val="tx1"/>
            </w14:solidFill>
          </w14:textFill>
        </w:rPr>
        <w:t>第三章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业务获得和执行的合规性</w:t>
      </w:r>
      <w:bookmarkEnd w:id="174"/>
      <w:bookmarkEnd w:id="175"/>
      <w:bookmarkEnd w:id="176"/>
      <w:bookmarkEnd w:id="177"/>
      <w:bookmarkEnd w:id="178"/>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3.1 </w:t>
      </w:r>
      <w:r>
        <w:rPr>
          <w:rFonts w:hint="eastAsia" w:ascii="仿宋_GB2312" w:hAnsi="宋体" w:eastAsia="仿宋_GB2312"/>
          <w:color w:val="000000"/>
          <w:sz w:val="32"/>
          <w:szCs w:val="32"/>
        </w:rPr>
        <w:t>通过查阅发行人及其子公司经营资质范围、签订和履行的主要业务合同、招投标文件及项目执行管理文件，实地走访项目现场及人员、访谈主管部门人员等方式，调查和了解发行人业务合规的相关情况。若发行人及子公司在报告期内存在受到处罚的情形，保荐人需要通过取得相关的处罚文件、访谈相关人员等方式调查了解处罚原因，是否构成重大违法违规行为，并了解处罚涉及事项的解决措施及影响的消除情况。</w:t>
      </w:r>
    </w:p>
    <w:p>
      <w:pPr>
        <w:spacing w:line="360" w:lineRule="auto"/>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3.2 </w:t>
      </w:r>
      <w:r>
        <w:rPr>
          <w:rFonts w:hint="eastAsia" w:ascii="仿宋_GB2312" w:hAnsi="宋体" w:eastAsia="仿宋_GB2312"/>
          <w:color w:val="000000"/>
          <w:sz w:val="32"/>
          <w:szCs w:val="32"/>
        </w:rPr>
        <w:t>通过查阅相关的法律法规、查阅发行人主要</w:t>
      </w:r>
      <w:r>
        <w:rPr>
          <w:rFonts w:ascii="仿宋_GB2312" w:hAnsi="宋体" w:eastAsia="仿宋_GB2312"/>
          <w:color w:val="000000"/>
          <w:sz w:val="32"/>
          <w:szCs w:val="32"/>
        </w:rPr>
        <w:t>/重要业务取得的过程文件、访谈发行人和客户相关人员了解发行人客户的采购制度和规定等方式，核查发行人业务的获得是否合</w:t>
      </w:r>
      <w:r>
        <w:rPr>
          <w:rFonts w:hint="eastAsia" w:ascii="仿宋_GB2312" w:hAnsi="宋体" w:eastAsia="仿宋_GB2312"/>
          <w:color w:val="000000"/>
          <w:sz w:val="32"/>
          <w:szCs w:val="32"/>
        </w:rPr>
        <w:t>规，是否存在应投标而未投标的情形。发行人的业务获得方式采用招投标方式的，还需要调查了解招投标程序是否存在违反《招标投标法》、《招标投标法实施条例》等法律法规和客户内部规定的情形，存在上述情形的，应分析原因及对发行人经营的影响，关注是否取得其客户或主管部门的确认文件。</w:t>
      </w:r>
    </w:p>
    <w:p>
      <w:pPr>
        <w:spacing w:line="360" w:lineRule="auto"/>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3.3 </w:t>
      </w:r>
      <w:r>
        <w:rPr>
          <w:rFonts w:hint="eastAsia" w:ascii="仿宋_GB2312" w:hAnsi="宋体" w:eastAsia="仿宋_GB2312"/>
          <w:color w:val="000000"/>
          <w:sz w:val="32"/>
          <w:szCs w:val="32"/>
        </w:rPr>
        <w:t>通过与发行人客户进行访谈、互联网查询、查阅同行业公司公开披露的信息等方式，调查和了解发行人提供的招投标文件是否真实和完整，以及发行人采取的招投标方式是否与同行业存在差异。</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3.4 </w:t>
      </w:r>
      <w:r>
        <w:rPr>
          <w:rFonts w:hint="eastAsia" w:ascii="仿宋_GB2312" w:hAnsi="宋体" w:eastAsia="仿宋_GB2312"/>
          <w:color w:val="000000"/>
          <w:sz w:val="32"/>
          <w:szCs w:val="32"/>
        </w:rPr>
        <w:t>发行人在招投标过程中存在和关联方或是其他第三方共同参与投标或联合参与同一项目投标并签订合同的情形，保荐人应了解共同投标的第三方拥有资质的情况，调查相关方是否存在陪标或借用资质的情形,</w:t>
      </w:r>
      <w:r>
        <w:rPr>
          <w:rFonts w:ascii="仿宋_GB2312" w:hAnsi="宋体" w:eastAsia="仿宋_GB2312"/>
          <w:color w:val="000000"/>
          <w:sz w:val="32"/>
          <w:szCs w:val="32"/>
        </w:rPr>
        <w:t>了解发行人与</w:t>
      </w:r>
      <w:r>
        <w:rPr>
          <w:rFonts w:hint="eastAsia" w:ascii="仿宋_GB2312" w:hAnsi="宋体" w:eastAsia="仿宋_GB2312"/>
          <w:color w:val="000000"/>
          <w:sz w:val="32"/>
          <w:szCs w:val="32"/>
        </w:rPr>
        <w:t>其他</w:t>
      </w:r>
      <w:r>
        <w:rPr>
          <w:rFonts w:ascii="仿宋_GB2312" w:hAnsi="宋体" w:eastAsia="仿宋_GB2312"/>
          <w:color w:val="000000"/>
          <w:sz w:val="32"/>
          <w:szCs w:val="32"/>
        </w:rPr>
        <w:t>各方具体权责划分、工作内容</w:t>
      </w:r>
      <w:r>
        <w:rPr>
          <w:rFonts w:hint="eastAsia" w:ascii="仿宋_GB2312" w:hAnsi="宋体" w:eastAsia="仿宋_GB2312"/>
          <w:color w:val="000000"/>
          <w:sz w:val="32"/>
          <w:szCs w:val="32"/>
        </w:rPr>
        <w:t>及合同金额</w:t>
      </w:r>
      <w:r>
        <w:rPr>
          <w:rFonts w:ascii="仿宋_GB2312" w:hAnsi="宋体" w:eastAsia="仿宋_GB2312"/>
          <w:color w:val="000000"/>
          <w:sz w:val="32"/>
          <w:szCs w:val="32"/>
        </w:rPr>
        <w:t>分配</w:t>
      </w:r>
      <w:r>
        <w:rPr>
          <w:rFonts w:hint="eastAsia" w:ascii="仿宋_GB2312" w:hAnsi="宋体" w:eastAsia="仿宋_GB2312"/>
          <w:color w:val="000000"/>
          <w:sz w:val="32"/>
          <w:szCs w:val="32"/>
        </w:rPr>
        <w:t>情况</w:t>
      </w:r>
      <w:r>
        <w:rPr>
          <w:rFonts w:ascii="仿宋_GB2312" w:hAnsi="宋体" w:eastAsia="仿宋_GB2312"/>
          <w:color w:val="000000"/>
          <w:sz w:val="32"/>
          <w:szCs w:val="32"/>
        </w:rPr>
        <w:t>，</w:t>
      </w:r>
      <w:r>
        <w:rPr>
          <w:rFonts w:hint="eastAsia" w:ascii="仿宋_GB2312" w:hAnsi="宋体" w:eastAsia="仿宋_GB2312"/>
          <w:color w:val="000000"/>
          <w:sz w:val="32"/>
          <w:szCs w:val="32"/>
        </w:rPr>
        <w:t>核查发</w:t>
      </w:r>
      <w:r>
        <w:rPr>
          <w:rFonts w:ascii="仿宋_GB2312" w:hAnsi="宋体" w:eastAsia="仿宋_GB2312"/>
          <w:color w:val="000000"/>
          <w:sz w:val="32"/>
          <w:szCs w:val="32"/>
        </w:rPr>
        <w:t>行人是否对其他</w:t>
      </w:r>
      <w:r>
        <w:rPr>
          <w:rFonts w:hint="eastAsia" w:ascii="仿宋_GB2312" w:hAnsi="宋体" w:eastAsia="仿宋_GB2312"/>
          <w:color w:val="000000"/>
          <w:sz w:val="32"/>
          <w:szCs w:val="32"/>
        </w:rPr>
        <w:t>各</w:t>
      </w:r>
      <w:r>
        <w:rPr>
          <w:rFonts w:ascii="仿宋_GB2312" w:hAnsi="宋体" w:eastAsia="仿宋_GB2312"/>
          <w:color w:val="000000"/>
          <w:sz w:val="32"/>
          <w:szCs w:val="32"/>
        </w:rPr>
        <w:t>方存在重大依赖。</w:t>
      </w:r>
    </w:p>
    <w:p>
      <w:pPr>
        <w:spacing w:line="360" w:lineRule="auto"/>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3.5 </w:t>
      </w:r>
      <w:r>
        <w:rPr>
          <w:rFonts w:hint="eastAsia" w:ascii="仿宋_GB2312" w:hAnsi="宋体" w:eastAsia="仿宋_GB2312"/>
          <w:color w:val="000000"/>
          <w:sz w:val="32"/>
          <w:szCs w:val="32"/>
        </w:rPr>
        <w:t>保荐人通过互联网查询、访谈相关人员，调查报告期内的销售费用明细以及发行人、</w:t>
      </w:r>
      <w:r>
        <w:rPr>
          <w:rFonts w:ascii="仿宋_GB2312" w:hAnsi="宋体" w:eastAsia="仿宋_GB2312"/>
          <w:color w:val="000000"/>
          <w:sz w:val="32"/>
          <w:szCs w:val="32"/>
        </w:rPr>
        <w:t>实际控制人、董监高及关键岗位人员</w:t>
      </w:r>
      <w:r>
        <w:rPr>
          <w:rFonts w:hint="eastAsia" w:ascii="仿宋_GB2312" w:hAnsi="宋体" w:eastAsia="仿宋_GB2312"/>
          <w:color w:val="000000"/>
          <w:sz w:val="32"/>
          <w:szCs w:val="32"/>
        </w:rPr>
        <w:t>等主体或人员的银行账户大额或异常资金往来等方式，核查发行人是否存在商业贿赂或不正当竞争的情形。</w:t>
      </w:r>
    </w:p>
    <w:p>
      <w:pPr>
        <w:spacing w:line="360" w:lineRule="auto"/>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3.6 </w:t>
      </w:r>
      <w:r>
        <w:rPr>
          <w:rFonts w:hint="eastAsia" w:ascii="仿宋_GB2312" w:hAnsi="宋体" w:eastAsia="仿宋_GB2312"/>
          <w:color w:val="000000"/>
          <w:sz w:val="32"/>
          <w:szCs w:val="32"/>
        </w:rPr>
        <w:t>发行人在业务的实施和开展过程中若存在将部分专业工程分包给第三方实施的，了解专业分包是否属于行业普遍行为。通过取得相关主要</w:t>
      </w:r>
      <w:r>
        <w:rPr>
          <w:rFonts w:ascii="仿宋_GB2312" w:hAnsi="宋体" w:eastAsia="仿宋_GB2312"/>
          <w:color w:val="000000"/>
          <w:sz w:val="32"/>
          <w:szCs w:val="32"/>
        </w:rPr>
        <w:t>/重要专业工程分包合同、查阅相关法律法规以及访谈相关人员的方式，调查和了解发行人与分包商责任的划分，是否存在违法分包或转包的情形，是否存在将专业工程分包给不具备相应资质的单位来实施，以及是否存在建设工程总承包合同中未有约定，又未经建设单位认可的情况下，将其承包的部分工程交由其他单位完成的情形。若存在上述情形的，保荐人需要了解上述情形对应的销售收入的金额及对发行人业务的影响。</w:t>
      </w:r>
    </w:p>
    <w:p>
      <w:pPr>
        <w:spacing w:line="360" w:lineRule="auto"/>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3.7 </w:t>
      </w:r>
      <w:r>
        <w:rPr>
          <w:rFonts w:hint="eastAsia" w:ascii="仿宋_GB2312" w:hAnsi="宋体" w:eastAsia="仿宋_GB2312"/>
          <w:color w:val="000000"/>
          <w:sz w:val="32"/>
          <w:szCs w:val="32"/>
        </w:rPr>
        <w:t>调查和了解发行人工程施工的全部用工方式，若存在劳务分包的，需要调查和了解发行人与劳务分包商发生业务交易的背景及是否存在重大风险、劳务分包商是否专门为发行人提供劳务或对发行人存在重大依赖、劳务分包商是否具备相关业务资质，以及发行人与劳务分包商的合作模式、具体权利义务关系、施工项目管理的内部控制措施，包括但不限于合同签署、施工质量、施工项目工程量增减变动、工程量计量与结算、项目验收等内容。</w:t>
      </w:r>
    </w:p>
    <w:p>
      <w:pPr>
        <w:spacing w:line="360" w:lineRule="auto"/>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3.8 </w:t>
      </w:r>
      <w:r>
        <w:rPr>
          <w:rFonts w:hint="eastAsia" w:ascii="仿宋_GB2312" w:hAnsi="宋体" w:eastAsia="仿宋_GB2312"/>
          <w:color w:val="000000"/>
          <w:sz w:val="32"/>
          <w:szCs w:val="32"/>
        </w:rPr>
        <w:t>通过取得发行人施工质量控制制度文件、访谈相关人员、实地查看和互联网查询等方式，调查和了解发行人施工质量的控制措施是否健全、有效，是否能够保障安全施工和施工质量；工程施工是否存在重大质量纠纷或潜在纠纷，是否存在群体性质量纠纷事件，以及是否存在安全生产事故、是否存在安全生产方面的行政处罚，是否构成重大违法行为。</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179" w:name="_Toc75646001"/>
      <w:bookmarkStart w:id="180" w:name="_Toc75688176"/>
      <w:bookmarkStart w:id="181" w:name="_Toc75792100"/>
      <w:bookmarkStart w:id="182" w:name="_Toc76339959"/>
      <w:bookmarkStart w:id="183" w:name="_Toc768755282"/>
      <w:r>
        <w:rPr>
          <w:rFonts w:hint="eastAsia" w:ascii="仿宋_GB2312" w:hAnsi="宋体" w:eastAsia="仿宋_GB2312"/>
          <w:color w:val="000000" w:themeColor="text1"/>
          <w:sz w:val="32"/>
          <w14:textFill>
            <w14:solidFill>
              <w14:schemeClr w14:val="tx1"/>
            </w14:solidFill>
          </w14:textFill>
        </w:rPr>
        <w:t>第四章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关于销售收入</w:t>
      </w:r>
      <w:bookmarkEnd w:id="179"/>
      <w:bookmarkEnd w:id="180"/>
      <w:bookmarkEnd w:id="181"/>
      <w:bookmarkEnd w:id="182"/>
      <w:bookmarkEnd w:id="183"/>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4.1 </w:t>
      </w:r>
      <w:r>
        <w:rPr>
          <w:rFonts w:hint="eastAsia" w:ascii="仿宋_GB2312" w:hAnsi="宋体" w:eastAsia="仿宋_GB2312"/>
          <w:color w:val="000000"/>
          <w:sz w:val="32"/>
          <w:szCs w:val="32"/>
        </w:rPr>
        <w:t>保荐人通过</w:t>
      </w:r>
      <w:r>
        <w:rPr>
          <w:rFonts w:ascii="仿宋_GB2312" w:hAnsi="宋体" w:eastAsia="仿宋_GB2312"/>
          <w:color w:val="000000"/>
          <w:sz w:val="32"/>
          <w:szCs w:val="32"/>
        </w:rPr>
        <w:t>询问</w:t>
      </w:r>
      <w:r>
        <w:rPr>
          <w:rFonts w:hint="eastAsia" w:ascii="仿宋_GB2312" w:hAnsi="宋体" w:eastAsia="仿宋_GB2312"/>
          <w:color w:val="000000"/>
          <w:sz w:val="32"/>
          <w:szCs w:val="32"/>
        </w:rPr>
        <w:t>管理层或</w:t>
      </w:r>
      <w:r>
        <w:rPr>
          <w:rFonts w:ascii="仿宋_GB2312" w:hAnsi="宋体" w:eastAsia="仿宋_GB2312"/>
          <w:color w:val="000000"/>
          <w:sz w:val="32"/>
          <w:szCs w:val="32"/>
        </w:rPr>
        <w:t>会计师，</w:t>
      </w:r>
      <w:r>
        <w:rPr>
          <w:rFonts w:hint="eastAsia" w:ascii="仿宋_GB2312" w:hAnsi="宋体" w:eastAsia="仿宋_GB2312"/>
          <w:color w:val="000000"/>
          <w:sz w:val="32"/>
          <w:szCs w:val="32"/>
        </w:rPr>
        <w:t>结合发行人的业务模式、交易惯例、工程施工合同条款等方式，分析发行人的履约义务属于在某一时段内履行的履约义务或属于在某一时点履行的履约义务。</w:t>
      </w:r>
      <w:r>
        <w:rPr>
          <w:rFonts w:ascii="仿宋_GB2312" w:hAnsi="宋体" w:eastAsia="仿宋_GB2312"/>
          <w:color w:val="000000"/>
          <w:sz w:val="32"/>
          <w:szCs w:val="32"/>
        </w:rPr>
        <w:t>了解</w:t>
      </w:r>
      <w:r>
        <w:rPr>
          <w:rFonts w:hint="eastAsia" w:ascii="仿宋_GB2312" w:hAnsi="宋体" w:eastAsia="仿宋_GB2312"/>
          <w:color w:val="000000"/>
          <w:sz w:val="32"/>
          <w:szCs w:val="32"/>
        </w:rPr>
        <w:t>同行业可比公司销售</w:t>
      </w:r>
      <w:r>
        <w:rPr>
          <w:rFonts w:ascii="仿宋_GB2312" w:hAnsi="宋体" w:eastAsia="仿宋_GB2312"/>
          <w:color w:val="000000"/>
          <w:sz w:val="32"/>
          <w:szCs w:val="32"/>
        </w:rPr>
        <w:t>收入确认的一般原则，</w:t>
      </w:r>
      <w:r>
        <w:rPr>
          <w:rFonts w:hint="eastAsia" w:ascii="仿宋_GB2312" w:hAnsi="宋体" w:eastAsia="仿宋_GB2312"/>
          <w:color w:val="000000"/>
          <w:sz w:val="32"/>
          <w:szCs w:val="32"/>
        </w:rPr>
        <w:t>并结合</w:t>
      </w:r>
      <w:r>
        <w:rPr>
          <w:rFonts w:ascii="仿宋_GB2312" w:hAnsi="宋体" w:eastAsia="仿宋_GB2312"/>
          <w:color w:val="000000"/>
          <w:sz w:val="32"/>
          <w:szCs w:val="32"/>
        </w:rPr>
        <w:t>发行人确认收入的具体标准，判断收入确认是否符合会计准则的要求，</w:t>
      </w:r>
      <w:r>
        <w:rPr>
          <w:rFonts w:hint="eastAsia" w:ascii="仿宋_GB2312" w:hAnsi="宋体" w:eastAsia="仿宋_GB2312"/>
          <w:color w:val="000000"/>
          <w:sz w:val="32"/>
          <w:szCs w:val="32"/>
        </w:rPr>
        <w:t>如发行人的收入确认政策与同行业可比公司存在较大差异的，了解该差异产生的原因及对发行人的影响。</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了解发行人履约进度的确认方法</w:t>
      </w:r>
      <w:r>
        <w:rPr>
          <w:rFonts w:ascii="仿宋_GB2312" w:hAnsi="宋体" w:eastAsia="仿宋_GB2312"/>
          <w:color w:val="000000"/>
          <w:sz w:val="32"/>
          <w:szCs w:val="32"/>
        </w:rPr>
        <w:t>，</w:t>
      </w:r>
      <w:r>
        <w:rPr>
          <w:rFonts w:hint="eastAsia" w:ascii="仿宋_GB2312" w:hAnsi="宋体" w:eastAsia="仿宋_GB2312"/>
          <w:color w:val="000000"/>
          <w:sz w:val="32"/>
          <w:szCs w:val="32"/>
        </w:rPr>
        <w:t>结合内控措施</w:t>
      </w:r>
      <w:r>
        <w:rPr>
          <w:rFonts w:ascii="仿宋_GB2312" w:hAnsi="宋体" w:eastAsia="仿宋_GB2312"/>
          <w:color w:val="000000"/>
          <w:sz w:val="32"/>
          <w:szCs w:val="32"/>
        </w:rPr>
        <w:t>、</w:t>
      </w:r>
      <w:r>
        <w:rPr>
          <w:rFonts w:hint="eastAsia" w:ascii="仿宋_GB2312" w:hAnsi="宋体" w:eastAsia="仿宋_GB2312"/>
          <w:color w:val="000000"/>
          <w:sz w:val="32"/>
          <w:szCs w:val="32"/>
        </w:rPr>
        <w:t>合同约定</w:t>
      </w:r>
      <w:r>
        <w:rPr>
          <w:rFonts w:ascii="仿宋_GB2312" w:hAnsi="宋体" w:eastAsia="仿宋_GB2312"/>
          <w:color w:val="000000"/>
          <w:sz w:val="32"/>
          <w:szCs w:val="32"/>
        </w:rPr>
        <w:t>、</w:t>
      </w:r>
      <w:r>
        <w:rPr>
          <w:rFonts w:hint="eastAsia" w:ascii="仿宋_GB2312" w:hAnsi="宋体" w:eastAsia="仿宋_GB2312"/>
          <w:color w:val="000000"/>
          <w:sz w:val="32"/>
          <w:szCs w:val="32"/>
        </w:rPr>
        <w:t>业务特点</w:t>
      </w:r>
      <w:r>
        <w:rPr>
          <w:rFonts w:ascii="仿宋_GB2312" w:hAnsi="宋体" w:eastAsia="仿宋_GB2312"/>
          <w:color w:val="000000"/>
          <w:sz w:val="32"/>
          <w:szCs w:val="32"/>
        </w:rPr>
        <w:t>、</w:t>
      </w:r>
      <w:r>
        <w:rPr>
          <w:rFonts w:hint="eastAsia" w:ascii="仿宋_GB2312" w:hAnsi="宋体" w:eastAsia="仿宋_GB2312"/>
          <w:color w:val="000000"/>
          <w:sz w:val="32"/>
          <w:szCs w:val="32"/>
        </w:rPr>
        <w:t>外部依据等</w:t>
      </w:r>
      <w:r>
        <w:rPr>
          <w:rFonts w:ascii="仿宋_GB2312" w:hAnsi="宋体" w:eastAsia="仿宋_GB2312"/>
          <w:color w:val="000000"/>
          <w:sz w:val="32"/>
          <w:szCs w:val="32"/>
        </w:rPr>
        <w:t>，</w:t>
      </w:r>
      <w:r>
        <w:rPr>
          <w:rFonts w:hint="eastAsia" w:ascii="仿宋_GB2312" w:hAnsi="宋体" w:eastAsia="仿宋_GB2312"/>
          <w:color w:val="000000"/>
          <w:sz w:val="32"/>
          <w:szCs w:val="32"/>
        </w:rPr>
        <w:t>分析履约进度确认方法的可靠性和准确性</w:t>
      </w:r>
      <w:r>
        <w:rPr>
          <w:rFonts w:ascii="仿宋_GB2312" w:hAnsi="宋体" w:eastAsia="仿宋_GB2312"/>
          <w:color w:val="000000"/>
          <w:sz w:val="32"/>
          <w:szCs w:val="32"/>
        </w:rPr>
        <w:t>；</w:t>
      </w:r>
      <w:r>
        <w:rPr>
          <w:rFonts w:hint="eastAsia" w:ascii="仿宋_GB2312" w:hAnsi="宋体" w:eastAsia="仿宋_GB2312"/>
          <w:color w:val="000000"/>
          <w:sz w:val="32"/>
          <w:szCs w:val="32"/>
        </w:rPr>
        <w:t>了解报告期内主要项目的履约进度确认依据</w:t>
      </w:r>
      <w:r>
        <w:rPr>
          <w:rFonts w:ascii="仿宋_GB2312" w:hAnsi="宋体" w:eastAsia="仿宋_GB2312"/>
          <w:color w:val="000000"/>
          <w:sz w:val="32"/>
          <w:szCs w:val="32"/>
        </w:rPr>
        <w:t>，</w:t>
      </w:r>
      <w:r>
        <w:rPr>
          <w:rFonts w:hint="eastAsia" w:ascii="仿宋_GB2312" w:hAnsi="宋体" w:eastAsia="仿宋_GB2312"/>
          <w:color w:val="000000"/>
          <w:sz w:val="32"/>
          <w:szCs w:val="32"/>
        </w:rPr>
        <w:t>分析采用不同履约进度确认方法的可能性以及对收入确认的影响</w:t>
      </w:r>
      <w:r>
        <w:rPr>
          <w:rFonts w:ascii="仿宋_GB2312" w:hAnsi="宋体" w:eastAsia="仿宋_GB2312"/>
          <w:color w:val="000000"/>
          <w:sz w:val="32"/>
          <w:szCs w:val="32"/>
        </w:rPr>
        <w:t>，</w:t>
      </w:r>
      <w:r>
        <w:rPr>
          <w:rFonts w:hint="eastAsia" w:ascii="仿宋_GB2312" w:hAnsi="宋体" w:eastAsia="仿宋_GB2312"/>
          <w:color w:val="000000"/>
          <w:sz w:val="32"/>
          <w:szCs w:val="32"/>
        </w:rPr>
        <w:t>核查是否存在通过调整履约进度方法调节收入的情形</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4.2 </w:t>
      </w:r>
      <w:r>
        <w:rPr>
          <w:rFonts w:hint="eastAsia" w:ascii="仿宋_GB2312" w:hAnsi="宋体" w:eastAsia="仿宋_GB2312"/>
          <w:color w:val="000000"/>
          <w:sz w:val="32"/>
          <w:szCs w:val="32"/>
        </w:rPr>
        <w:t>通过获取报告期内主要项目的明细表</w:t>
      </w:r>
      <w:r>
        <w:rPr>
          <w:rFonts w:ascii="仿宋_GB2312" w:hAnsi="宋体" w:eastAsia="仿宋_GB2312"/>
          <w:color w:val="000000"/>
          <w:sz w:val="32"/>
          <w:szCs w:val="32"/>
        </w:rPr>
        <w:t>，</w:t>
      </w:r>
      <w:r>
        <w:rPr>
          <w:rFonts w:hint="eastAsia" w:ascii="仿宋_GB2312" w:hAnsi="宋体" w:eastAsia="仿宋_GB2312"/>
          <w:color w:val="000000"/>
          <w:sz w:val="32"/>
          <w:szCs w:val="32"/>
        </w:rPr>
        <w:t>包括项目名称</w:t>
      </w:r>
      <w:r>
        <w:rPr>
          <w:rFonts w:ascii="仿宋_GB2312" w:hAnsi="宋体" w:eastAsia="仿宋_GB2312"/>
          <w:color w:val="000000"/>
          <w:sz w:val="32"/>
          <w:szCs w:val="32"/>
        </w:rPr>
        <w:t>、</w:t>
      </w:r>
      <w:r>
        <w:rPr>
          <w:rFonts w:hint="eastAsia" w:ascii="仿宋_GB2312" w:hAnsi="宋体" w:eastAsia="仿宋_GB2312"/>
          <w:color w:val="000000"/>
          <w:sz w:val="32"/>
          <w:szCs w:val="32"/>
        </w:rPr>
        <w:t>合同起始时间</w:t>
      </w:r>
      <w:r>
        <w:rPr>
          <w:rFonts w:ascii="仿宋_GB2312" w:hAnsi="宋体" w:eastAsia="仿宋_GB2312"/>
          <w:color w:val="000000"/>
          <w:sz w:val="32"/>
          <w:szCs w:val="32"/>
        </w:rPr>
        <w:t>、</w:t>
      </w:r>
      <w:r>
        <w:rPr>
          <w:rFonts w:hint="eastAsia" w:ascii="仿宋_GB2312" w:hAnsi="宋体" w:eastAsia="仿宋_GB2312"/>
          <w:color w:val="000000"/>
          <w:sz w:val="32"/>
          <w:szCs w:val="32"/>
        </w:rPr>
        <w:t>预计完工时间、合同主要内容</w:t>
      </w:r>
      <w:r>
        <w:rPr>
          <w:rFonts w:ascii="仿宋_GB2312" w:hAnsi="宋体" w:eastAsia="仿宋_GB2312"/>
          <w:color w:val="000000"/>
          <w:sz w:val="32"/>
          <w:szCs w:val="32"/>
        </w:rPr>
        <w:t>、</w:t>
      </w:r>
      <w:r>
        <w:rPr>
          <w:rFonts w:hint="eastAsia" w:ascii="仿宋_GB2312" w:hAnsi="宋体" w:eastAsia="仿宋_GB2312"/>
          <w:color w:val="000000"/>
          <w:sz w:val="32"/>
          <w:szCs w:val="32"/>
        </w:rPr>
        <w:t>合同总收入</w:t>
      </w:r>
      <w:r>
        <w:rPr>
          <w:rFonts w:ascii="仿宋_GB2312" w:hAnsi="宋体" w:eastAsia="仿宋_GB2312"/>
          <w:color w:val="000000"/>
          <w:sz w:val="32"/>
          <w:szCs w:val="32"/>
        </w:rPr>
        <w:t>、</w:t>
      </w:r>
      <w:r>
        <w:rPr>
          <w:rFonts w:hint="eastAsia" w:ascii="仿宋_GB2312" w:hAnsi="宋体" w:eastAsia="仿宋_GB2312"/>
          <w:color w:val="000000"/>
          <w:sz w:val="32"/>
          <w:szCs w:val="32"/>
        </w:rPr>
        <w:t>预计合同总成本</w:t>
      </w:r>
      <w:r>
        <w:rPr>
          <w:rFonts w:ascii="仿宋_GB2312" w:hAnsi="宋体" w:eastAsia="仿宋_GB2312"/>
          <w:color w:val="000000"/>
          <w:sz w:val="32"/>
          <w:szCs w:val="32"/>
        </w:rPr>
        <w:t>、</w:t>
      </w:r>
      <w:r>
        <w:rPr>
          <w:rFonts w:hint="eastAsia" w:ascii="仿宋_GB2312" w:hAnsi="宋体" w:eastAsia="仿宋_GB2312"/>
          <w:color w:val="000000"/>
          <w:sz w:val="32"/>
          <w:szCs w:val="32"/>
        </w:rPr>
        <w:t>累计确认收入</w:t>
      </w:r>
      <w:r>
        <w:rPr>
          <w:rFonts w:ascii="仿宋_GB2312" w:hAnsi="宋体" w:eastAsia="仿宋_GB2312"/>
          <w:color w:val="000000"/>
          <w:sz w:val="32"/>
          <w:szCs w:val="32"/>
        </w:rPr>
        <w:t>、</w:t>
      </w:r>
      <w:r>
        <w:rPr>
          <w:rFonts w:hint="eastAsia" w:ascii="仿宋_GB2312" w:hAnsi="宋体" w:eastAsia="仿宋_GB2312"/>
          <w:color w:val="000000"/>
          <w:sz w:val="32"/>
          <w:szCs w:val="32"/>
        </w:rPr>
        <w:t>累计确认成本</w:t>
      </w:r>
      <w:r>
        <w:rPr>
          <w:rFonts w:ascii="仿宋_GB2312" w:hAnsi="宋体" w:eastAsia="仿宋_GB2312"/>
          <w:color w:val="000000"/>
          <w:sz w:val="32"/>
          <w:szCs w:val="32"/>
        </w:rPr>
        <w:t>、</w:t>
      </w:r>
      <w:r>
        <w:rPr>
          <w:rFonts w:hint="eastAsia" w:ascii="仿宋_GB2312" w:hAnsi="宋体" w:eastAsia="仿宋_GB2312"/>
          <w:color w:val="000000"/>
          <w:sz w:val="32"/>
          <w:szCs w:val="32"/>
        </w:rPr>
        <w:t>当期确认收入</w:t>
      </w:r>
      <w:r>
        <w:rPr>
          <w:rFonts w:ascii="仿宋_GB2312" w:hAnsi="宋体" w:eastAsia="仿宋_GB2312"/>
          <w:color w:val="000000"/>
          <w:sz w:val="32"/>
          <w:szCs w:val="32"/>
        </w:rPr>
        <w:t>、</w:t>
      </w:r>
      <w:r>
        <w:rPr>
          <w:rFonts w:hint="eastAsia" w:ascii="仿宋_GB2312" w:hAnsi="宋体" w:eastAsia="仿宋_GB2312"/>
          <w:color w:val="000000"/>
          <w:sz w:val="32"/>
          <w:szCs w:val="32"/>
        </w:rPr>
        <w:t>当期确认成本</w:t>
      </w:r>
      <w:r>
        <w:rPr>
          <w:rFonts w:ascii="仿宋_GB2312" w:hAnsi="宋体" w:eastAsia="仿宋_GB2312"/>
          <w:color w:val="000000"/>
          <w:sz w:val="32"/>
          <w:szCs w:val="32"/>
        </w:rPr>
        <w:t>、</w:t>
      </w:r>
      <w:r>
        <w:rPr>
          <w:rFonts w:hint="eastAsia" w:ascii="仿宋_GB2312" w:hAnsi="宋体" w:eastAsia="仿宋_GB2312"/>
          <w:color w:val="000000"/>
          <w:sz w:val="32"/>
          <w:szCs w:val="32"/>
        </w:rPr>
        <w:t>履约进度</w:t>
      </w:r>
      <w:r>
        <w:rPr>
          <w:rFonts w:ascii="仿宋_GB2312" w:hAnsi="宋体" w:eastAsia="仿宋_GB2312"/>
          <w:color w:val="000000"/>
          <w:sz w:val="32"/>
          <w:szCs w:val="32"/>
        </w:rPr>
        <w:t>、</w:t>
      </w:r>
      <w:r>
        <w:rPr>
          <w:rFonts w:hint="eastAsia" w:ascii="仿宋_GB2312" w:hAnsi="宋体" w:eastAsia="仿宋_GB2312"/>
          <w:color w:val="000000"/>
          <w:sz w:val="32"/>
          <w:szCs w:val="32"/>
        </w:rPr>
        <w:t>合同结算</w:t>
      </w:r>
      <w:r>
        <w:rPr>
          <w:rFonts w:ascii="仿宋_GB2312" w:hAnsi="宋体" w:eastAsia="仿宋_GB2312"/>
          <w:color w:val="000000"/>
          <w:sz w:val="32"/>
          <w:szCs w:val="32"/>
        </w:rPr>
        <w:t>、</w:t>
      </w:r>
      <w:r>
        <w:rPr>
          <w:rFonts w:hint="eastAsia" w:ascii="仿宋_GB2312" w:hAnsi="宋体" w:eastAsia="仿宋_GB2312"/>
          <w:color w:val="000000"/>
          <w:sz w:val="32"/>
          <w:szCs w:val="32"/>
        </w:rPr>
        <w:t>合同资产</w:t>
      </w:r>
      <w:r>
        <w:rPr>
          <w:rFonts w:ascii="仿宋_GB2312" w:hAnsi="宋体" w:eastAsia="仿宋_GB2312"/>
          <w:color w:val="000000"/>
          <w:sz w:val="32"/>
          <w:szCs w:val="32"/>
        </w:rPr>
        <w:t>、</w:t>
      </w:r>
      <w:r>
        <w:rPr>
          <w:rFonts w:hint="eastAsia" w:ascii="仿宋_GB2312" w:hAnsi="宋体" w:eastAsia="仿宋_GB2312"/>
          <w:color w:val="000000"/>
          <w:sz w:val="32"/>
          <w:szCs w:val="32"/>
        </w:rPr>
        <w:t>合同负债等</w:t>
      </w:r>
      <w:r>
        <w:rPr>
          <w:rFonts w:ascii="仿宋_GB2312" w:hAnsi="宋体" w:eastAsia="仿宋_GB2312"/>
          <w:color w:val="000000"/>
          <w:sz w:val="32"/>
          <w:szCs w:val="32"/>
        </w:rPr>
        <w:t>，</w:t>
      </w:r>
      <w:r>
        <w:rPr>
          <w:rFonts w:hint="eastAsia" w:ascii="仿宋_GB2312" w:hAnsi="宋体" w:eastAsia="仿宋_GB2312"/>
          <w:color w:val="000000"/>
          <w:sz w:val="32"/>
          <w:szCs w:val="32"/>
        </w:rPr>
        <w:t>了解主要项目的收款情况或工程结算情况、验收周期、实施周期，分析主要项目的收入确认与履约进度是否匹配</w:t>
      </w:r>
      <w:r>
        <w:rPr>
          <w:rFonts w:ascii="仿宋_GB2312" w:hAnsi="宋体" w:eastAsia="仿宋_GB2312"/>
          <w:color w:val="000000"/>
          <w:sz w:val="32"/>
          <w:szCs w:val="32"/>
        </w:rPr>
        <w:t>，</w:t>
      </w:r>
      <w:r>
        <w:rPr>
          <w:rFonts w:hint="eastAsia" w:ascii="仿宋_GB2312" w:hAnsi="宋体" w:eastAsia="仿宋_GB2312"/>
          <w:color w:val="000000"/>
          <w:sz w:val="32"/>
          <w:szCs w:val="32"/>
        </w:rPr>
        <w:t>项目的进展情况是否与合同约定一致</w:t>
      </w:r>
      <w:r>
        <w:rPr>
          <w:rFonts w:ascii="仿宋_GB2312" w:hAnsi="宋体" w:eastAsia="仿宋_GB2312"/>
          <w:color w:val="000000"/>
          <w:sz w:val="32"/>
          <w:szCs w:val="32"/>
        </w:rPr>
        <w:t>，</w:t>
      </w:r>
      <w:r>
        <w:rPr>
          <w:rFonts w:hint="eastAsia" w:ascii="仿宋_GB2312" w:hAnsi="宋体" w:eastAsia="仿宋_GB2312"/>
          <w:color w:val="000000"/>
          <w:sz w:val="32"/>
          <w:szCs w:val="32"/>
        </w:rPr>
        <w:t>是否存在突击确认收入或长期无进展的项目</w:t>
      </w:r>
      <w:r>
        <w:rPr>
          <w:rFonts w:ascii="仿宋_GB2312" w:hAnsi="宋体" w:eastAsia="仿宋_GB2312"/>
          <w:color w:val="000000"/>
          <w:sz w:val="32"/>
          <w:szCs w:val="32"/>
        </w:rPr>
        <w:t>，</w:t>
      </w:r>
      <w:r>
        <w:rPr>
          <w:rFonts w:hint="eastAsia" w:ascii="仿宋_GB2312" w:hAnsi="宋体" w:eastAsia="仿宋_GB2312"/>
          <w:color w:val="000000"/>
          <w:sz w:val="32"/>
          <w:szCs w:val="32"/>
        </w:rPr>
        <w:t>项目是否存在纠纷</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4.3 </w:t>
      </w:r>
      <w:r>
        <w:rPr>
          <w:rFonts w:hint="eastAsia" w:ascii="仿宋_GB2312" w:hAnsi="宋体" w:eastAsia="仿宋_GB2312"/>
          <w:color w:val="000000"/>
          <w:sz w:val="32"/>
          <w:szCs w:val="32"/>
        </w:rPr>
        <w:t>通过取得发行人主要项目报告期各季度收入确认、成本结转情况表等方式，核查发行人是否存在第四季度履约进度明显高于其他季度的情形，是否存在通过人为操控工程进度跨期调节业绩的情形，与履约进度确认相关的内控制度是否健全并有效执行。工程施工中，合同金额、施工方案等合同条款发生变更的，询问会计师，了解合同变更的会计处理是否符合会计准则的规定，分析合同变更对预算总成本、收入和成本确认的影响。</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结合主要工程项目的收入确认</w:t>
      </w:r>
      <w:r>
        <w:rPr>
          <w:rFonts w:ascii="仿宋_GB2312" w:hAnsi="宋体" w:eastAsia="仿宋_GB2312"/>
          <w:color w:val="000000"/>
          <w:sz w:val="32"/>
          <w:szCs w:val="32"/>
        </w:rPr>
        <w:t>、</w:t>
      </w:r>
      <w:r>
        <w:rPr>
          <w:rFonts w:hint="eastAsia" w:ascii="仿宋_GB2312" w:hAnsi="宋体" w:eastAsia="仿宋_GB2312"/>
          <w:color w:val="000000"/>
          <w:sz w:val="32"/>
          <w:szCs w:val="32"/>
        </w:rPr>
        <w:t>工期跨度</w:t>
      </w:r>
      <w:r>
        <w:rPr>
          <w:rFonts w:ascii="仿宋_GB2312" w:hAnsi="宋体" w:eastAsia="仿宋_GB2312"/>
          <w:color w:val="000000"/>
          <w:sz w:val="32"/>
          <w:szCs w:val="32"/>
        </w:rPr>
        <w:t>、</w:t>
      </w:r>
      <w:r>
        <w:rPr>
          <w:rFonts w:hint="eastAsia" w:ascii="仿宋_GB2312" w:hAnsi="宋体" w:eastAsia="仿宋_GB2312"/>
          <w:color w:val="000000"/>
          <w:sz w:val="32"/>
          <w:szCs w:val="32"/>
        </w:rPr>
        <w:t>履约进度情况等</w:t>
      </w:r>
      <w:r>
        <w:rPr>
          <w:rFonts w:ascii="仿宋_GB2312" w:hAnsi="宋体" w:eastAsia="仿宋_GB2312"/>
          <w:color w:val="000000"/>
          <w:sz w:val="32"/>
          <w:szCs w:val="32"/>
        </w:rPr>
        <w:t>，</w:t>
      </w:r>
      <w:r>
        <w:rPr>
          <w:rFonts w:hint="eastAsia" w:ascii="仿宋_GB2312" w:hAnsi="宋体" w:eastAsia="仿宋_GB2312"/>
          <w:color w:val="000000"/>
          <w:sz w:val="32"/>
          <w:szCs w:val="32"/>
        </w:rPr>
        <w:t>实地察看主要工程项目的状态</w:t>
      </w:r>
      <w:r>
        <w:rPr>
          <w:rFonts w:ascii="仿宋_GB2312" w:hAnsi="宋体" w:eastAsia="仿宋_GB2312"/>
          <w:color w:val="000000"/>
          <w:sz w:val="32"/>
          <w:szCs w:val="32"/>
        </w:rPr>
        <w:t>，</w:t>
      </w:r>
      <w:r>
        <w:rPr>
          <w:rFonts w:hint="eastAsia" w:ascii="仿宋_GB2312" w:hAnsi="宋体" w:eastAsia="仿宋_GB2312"/>
          <w:color w:val="000000"/>
          <w:sz w:val="32"/>
          <w:szCs w:val="32"/>
        </w:rPr>
        <w:t>检查是否存在中止、暂停的情形</w:t>
      </w:r>
      <w:r>
        <w:rPr>
          <w:rFonts w:ascii="仿宋_GB2312" w:hAnsi="宋体" w:eastAsia="仿宋_GB2312"/>
          <w:color w:val="000000"/>
          <w:sz w:val="32"/>
          <w:szCs w:val="32"/>
        </w:rPr>
        <w:t>，</w:t>
      </w:r>
      <w:r>
        <w:rPr>
          <w:rFonts w:hint="eastAsia" w:ascii="仿宋_GB2312" w:hAnsi="宋体" w:eastAsia="仿宋_GB2312"/>
          <w:color w:val="000000"/>
          <w:sz w:val="32"/>
          <w:szCs w:val="32"/>
        </w:rPr>
        <w:t>结合合同条款、未来施工计划、会计准则等，分析减值准备计提的合理性</w:t>
      </w:r>
      <w:r>
        <w:rPr>
          <w:rFonts w:ascii="仿宋_GB2312" w:hAnsi="宋体" w:eastAsia="仿宋_GB2312"/>
          <w:color w:val="000000"/>
          <w:sz w:val="32"/>
          <w:szCs w:val="32"/>
        </w:rPr>
        <w:t>，</w:t>
      </w:r>
      <w:r>
        <w:rPr>
          <w:rFonts w:hint="eastAsia" w:ascii="仿宋_GB2312" w:hAnsi="宋体" w:eastAsia="仿宋_GB2312"/>
          <w:color w:val="000000"/>
          <w:sz w:val="32"/>
          <w:szCs w:val="32"/>
        </w:rPr>
        <w:t>提取数额是否充分</w:t>
      </w:r>
      <w:r>
        <w:rPr>
          <w:rFonts w:ascii="仿宋_GB2312" w:hAnsi="宋体" w:eastAsia="仿宋_GB2312"/>
          <w:color w:val="000000"/>
          <w:sz w:val="32"/>
          <w:szCs w:val="32"/>
        </w:rPr>
        <w:t>；</w:t>
      </w:r>
      <w:r>
        <w:rPr>
          <w:rFonts w:hint="eastAsia" w:ascii="仿宋_GB2312" w:hAnsi="宋体" w:eastAsia="仿宋_GB2312"/>
          <w:color w:val="000000"/>
          <w:sz w:val="32"/>
          <w:szCs w:val="32"/>
        </w:rPr>
        <w:t>与项目经理</w:t>
      </w:r>
      <w:r>
        <w:rPr>
          <w:rFonts w:ascii="仿宋_GB2312" w:hAnsi="宋体" w:eastAsia="仿宋_GB2312"/>
          <w:color w:val="000000"/>
          <w:sz w:val="32"/>
          <w:szCs w:val="32"/>
        </w:rPr>
        <w:t>、</w:t>
      </w:r>
      <w:r>
        <w:rPr>
          <w:rFonts w:hint="eastAsia" w:ascii="仿宋_GB2312" w:hAnsi="宋体" w:eastAsia="仿宋_GB2312"/>
          <w:color w:val="000000"/>
          <w:sz w:val="32"/>
          <w:szCs w:val="32"/>
        </w:rPr>
        <w:t>工程师等施工管理人员进行交谈</w:t>
      </w:r>
      <w:r>
        <w:rPr>
          <w:rFonts w:ascii="仿宋_GB2312" w:hAnsi="宋体" w:eastAsia="仿宋_GB2312"/>
          <w:color w:val="000000"/>
          <w:sz w:val="32"/>
          <w:szCs w:val="32"/>
        </w:rPr>
        <w:t>，</w:t>
      </w:r>
      <w:r>
        <w:rPr>
          <w:rFonts w:hint="eastAsia" w:ascii="仿宋_GB2312" w:hAnsi="宋体" w:eastAsia="仿宋_GB2312"/>
          <w:color w:val="000000"/>
          <w:sz w:val="32"/>
          <w:szCs w:val="32"/>
        </w:rPr>
        <w:t>了解工程项目的主要施工流程、项目进展、履约进度确认流程和方法等</w:t>
      </w:r>
      <w:r>
        <w:rPr>
          <w:rFonts w:ascii="仿宋_GB2312" w:hAnsi="宋体" w:eastAsia="仿宋_GB2312"/>
          <w:color w:val="000000"/>
          <w:sz w:val="32"/>
          <w:szCs w:val="32"/>
        </w:rPr>
        <w:t>；</w:t>
      </w:r>
      <w:r>
        <w:rPr>
          <w:rFonts w:hint="eastAsia" w:ascii="仿宋_GB2312" w:hAnsi="宋体" w:eastAsia="仿宋_GB2312"/>
          <w:color w:val="000000"/>
          <w:sz w:val="32"/>
          <w:szCs w:val="32"/>
        </w:rPr>
        <w:t>必要时与监理单位</w:t>
      </w:r>
      <w:r>
        <w:rPr>
          <w:rFonts w:ascii="仿宋_GB2312" w:hAnsi="宋体" w:eastAsia="仿宋_GB2312"/>
          <w:color w:val="000000"/>
          <w:sz w:val="32"/>
          <w:szCs w:val="32"/>
        </w:rPr>
        <w:t>（</w:t>
      </w:r>
      <w:r>
        <w:rPr>
          <w:rFonts w:hint="eastAsia" w:ascii="仿宋_GB2312" w:hAnsi="宋体" w:eastAsia="仿宋_GB2312"/>
          <w:color w:val="000000"/>
          <w:sz w:val="32"/>
          <w:szCs w:val="32"/>
        </w:rPr>
        <w:t>如有</w:t>
      </w:r>
      <w:r>
        <w:rPr>
          <w:rFonts w:ascii="仿宋_GB2312" w:hAnsi="宋体" w:eastAsia="仿宋_GB2312"/>
          <w:color w:val="000000"/>
          <w:sz w:val="32"/>
          <w:szCs w:val="32"/>
        </w:rPr>
        <w:t>）</w:t>
      </w:r>
      <w:r>
        <w:rPr>
          <w:rFonts w:hint="eastAsia" w:ascii="仿宋_GB2312" w:hAnsi="宋体" w:eastAsia="仿宋_GB2312"/>
          <w:color w:val="000000"/>
          <w:sz w:val="32"/>
          <w:szCs w:val="32"/>
        </w:rPr>
        <w:t>或业主单位的项目负责人员进行访谈</w:t>
      </w:r>
      <w:r>
        <w:rPr>
          <w:rFonts w:ascii="仿宋_GB2312" w:hAnsi="宋体" w:eastAsia="仿宋_GB2312"/>
          <w:color w:val="000000"/>
          <w:sz w:val="32"/>
          <w:szCs w:val="32"/>
        </w:rPr>
        <w:t>，</w:t>
      </w:r>
      <w:r>
        <w:rPr>
          <w:rFonts w:hint="eastAsia" w:ascii="仿宋_GB2312" w:hAnsi="宋体" w:eastAsia="仿宋_GB2312"/>
          <w:color w:val="000000"/>
          <w:sz w:val="32"/>
          <w:szCs w:val="32"/>
        </w:rPr>
        <w:t>了解施工的工程质量情况、工程进度、是否存在纠纷等</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发行人采用产出法确认履约进度的，查阅主要项目业主单位或监理单位出具的工作量确认单等资料，检查工作量确认单签字、盖章、工作量确认截止日等要件的齐备性，分析瑕疵事项（如有）对收入真实性和准确性的影响；计算并对比发行人投入法下的履约进度，核查与产出法下的履约进度是否存在重大差异，如存在，分析差异的原因和合理性，以及已投入的成本是否可以收回。</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发行人采用投入法确认履约进度的，需要结合业主单位或监理单位的工作量确认单（如有），分析与发行人投入法确认的履约进度是否匹配。业主单位或监理单位未出具工作量确认单或报告期末工作量确认单的确认数与履约进度存在重大差异的，了解原因和合理性，判断收入确认的充分性和准确性。</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查阅施工合同、工程结算等资料，询问管理层，了解实际结算进度和合同结算进度是否一致，存在重大差异的，核查差异的原因，双方是否存在纠纷，已发生成本的可回收性以及对收入确认的影响。</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走访主要工程项目的业主方</w:t>
      </w:r>
      <w:r>
        <w:rPr>
          <w:rFonts w:ascii="仿宋_GB2312" w:hAnsi="宋体" w:eastAsia="仿宋_GB2312"/>
          <w:color w:val="000000"/>
          <w:sz w:val="32"/>
          <w:szCs w:val="32"/>
        </w:rPr>
        <w:t>，</w:t>
      </w:r>
      <w:r>
        <w:rPr>
          <w:rFonts w:hint="eastAsia" w:ascii="仿宋_GB2312" w:hAnsi="宋体" w:eastAsia="仿宋_GB2312"/>
          <w:color w:val="000000"/>
          <w:sz w:val="32"/>
          <w:szCs w:val="32"/>
        </w:rPr>
        <w:t>了解结算的方法和依据</w:t>
      </w:r>
      <w:r>
        <w:rPr>
          <w:rFonts w:ascii="仿宋_GB2312" w:hAnsi="宋体" w:eastAsia="仿宋_GB2312"/>
          <w:color w:val="000000"/>
          <w:sz w:val="32"/>
          <w:szCs w:val="32"/>
        </w:rPr>
        <w:t>、</w:t>
      </w:r>
      <w:r>
        <w:rPr>
          <w:rFonts w:hint="eastAsia" w:ascii="仿宋_GB2312" w:hAnsi="宋体" w:eastAsia="仿宋_GB2312"/>
          <w:color w:val="000000"/>
          <w:sz w:val="32"/>
          <w:szCs w:val="32"/>
        </w:rPr>
        <w:t>对账频率</w:t>
      </w:r>
      <w:r>
        <w:rPr>
          <w:rFonts w:ascii="仿宋_GB2312" w:hAnsi="宋体" w:eastAsia="仿宋_GB2312"/>
          <w:color w:val="000000"/>
          <w:sz w:val="32"/>
          <w:szCs w:val="32"/>
        </w:rPr>
        <w:t>、</w:t>
      </w:r>
      <w:r>
        <w:rPr>
          <w:rFonts w:hint="eastAsia" w:ascii="仿宋_GB2312" w:hAnsi="宋体" w:eastAsia="仿宋_GB2312"/>
          <w:color w:val="000000"/>
          <w:sz w:val="32"/>
          <w:szCs w:val="32"/>
        </w:rPr>
        <w:t>结算进度</w:t>
      </w:r>
      <w:r>
        <w:rPr>
          <w:rFonts w:ascii="仿宋_GB2312" w:hAnsi="宋体" w:eastAsia="仿宋_GB2312"/>
          <w:color w:val="000000"/>
          <w:sz w:val="32"/>
          <w:szCs w:val="32"/>
        </w:rPr>
        <w:t>、</w:t>
      </w:r>
      <w:r>
        <w:rPr>
          <w:rFonts w:hint="eastAsia" w:ascii="仿宋_GB2312" w:hAnsi="宋体" w:eastAsia="仿宋_GB2312"/>
          <w:color w:val="000000"/>
          <w:sz w:val="32"/>
          <w:szCs w:val="32"/>
        </w:rPr>
        <w:t>履约进度等情况</w:t>
      </w:r>
      <w:r>
        <w:rPr>
          <w:rFonts w:ascii="仿宋_GB2312" w:hAnsi="宋体" w:eastAsia="仿宋_GB2312"/>
          <w:color w:val="000000"/>
          <w:sz w:val="32"/>
          <w:szCs w:val="32"/>
        </w:rPr>
        <w:t>，</w:t>
      </w:r>
      <w:r>
        <w:rPr>
          <w:rFonts w:hint="eastAsia" w:ascii="仿宋_GB2312" w:hAnsi="宋体" w:eastAsia="仿宋_GB2312"/>
          <w:color w:val="000000"/>
          <w:sz w:val="32"/>
          <w:szCs w:val="32"/>
        </w:rPr>
        <w:t>实地查看工程施工的项目现场，核查业主确认的履约进度与发行人的收入确认是否保持一致</w:t>
      </w:r>
      <w:r>
        <w:rPr>
          <w:rFonts w:ascii="仿宋_GB2312" w:hAnsi="宋体" w:eastAsia="仿宋_GB2312"/>
          <w:color w:val="000000"/>
          <w:sz w:val="32"/>
          <w:szCs w:val="32"/>
        </w:rPr>
        <w:t>。</w:t>
      </w:r>
      <w:r>
        <w:rPr>
          <w:rFonts w:hint="eastAsia" w:ascii="仿宋_GB2312" w:hAnsi="宋体" w:eastAsia="仿宋_GB2312"/>
          <w:color w:val="000000"/>
          <w:sz w:val="32"/>
          <w:szCs w:val="32"/>
        </w:rPr>
        <w:t>因不可抗力</w:t>
      </w:r>
      <w:r>
        <w:rPr>
          <w:rFonts w:ascii="仿宋_GB2312" w:hAnsi="宋体" w:eastAsia="仿宋_GB2312"/>
          <w:color w:val="000000"/>
          <w:sz w:val="32"/>
          <w:szCs w:val="32"/>
        </w:rPr>
        <w:t>（</w:t>
      </w:r>
      <w:r>
        <w:rPr>
          <w:rFonts w:hint="eastAsia" w:ascii="仿宋_GB2312" w:hAnsi="宋体" w:eastAsia="仿宋_GB2312"/>
          <w:color w:val="000000"/>
          <w:sz w:val="32"/>
          <w:szCs w:val="32"/>
        </w:rPr>
        <w:t>如疫情</w:t>
      </w:r>
      <w:r>
        <w:rPr>
          <w:rFonts w:ascii="仿宋_GB2312" w:hAnsi="宋体" w:eastAsia="仿宋_GB2312"/>
          <w:color w:val="000000"/>
          <w:sz w:val="32"/>
          <w:szCs w:val="32"/>
        </w:rPr>
        <w:t>）、</w:t>
      </w:r>
      <w:r>
        <w:rPr>
          <w:rFonts w:hint="eastAsia" w:ascii="仿宋_GB2312" w:hAnsi="宋体" w:eastAsia="仿宋_GB2312"/>
          <w:color w:val="000000"/>
          <w:sz w:val="32"/>
          <w:szCs w:val="32"/>
        </w:rPr>
        <w:t>涉及国家秘密</w:t>
      </w:r>
      <w:r>
        <w:rPr>
          <w:rFonts w:ascii="仿宋_GB2312" w:hAnsi="宋体" w:eastAsia="仿宋_GB2312"/>
          <w:color w:val="000000"/>
          <w:sz w:val="32"/>
          <w:szCs w:val="32"/>
        </w:rPr>
        <w:t>、</w:t>
      </w:r>
      <w:r>
        <w:rPr>
          <w:rFonts w:hint="eastAsia" w:ascii="仿宋_GB2312" w:hAnsi="宋体" w:eastAsia="仿宋_GB2312"/>
          <w:color w:val="000000"/>
          <w:sz w:val="32"/>
          <w:szCs w:val="32"/>
        </w:rPr>
        <w:t>业主方过于分散等因素</w:t>
      </w:r>
      <w:r>
        <w:rPr>
          <w:rFonts w:ascii="仿宋_GB2312" w:hAnsi="宋体" w:eastAsia="仿宋_GB2312"/>
          <w:color w:val="000000"/>
          <w:sz w:val="32"/>
          <w:szCs w:val="32"/>
        </w:rPr>
        <w:t>，</w:t>
      </w:r>
      <w:r>
        <w:rPr>
          <w:rFonts w:hint="eastAsia" w:ascii="仿宋_GB2312" w:hAnsi="宋体" w:eastAsia="仿宋_GB2312"/>
          <w:color w:val="000000"/>
          <w:sz w:val="32"/>
          <w:szCs w:val="32"/>
        </w:rPr>
        <w:t>造成无法实施实地走访或走访比例无法满足前述要求的</w:t>
      </w:r>
      <w:r>
        <w:rPr>
          <w:rFonts w:ascii="仿宋_GB2312" w:hAnsi="宋体" w:eastAsia="仿宋_GB2312"/>
          <w:color w:val="000000"/>
          <w:sz w:val="32"/>
          <w:szCs w:val="32"/>
        </w:rPr>
        <w:t>，</w:t>
      </w:r>
      <w:r>
        <w:rPr>
          <w:rFonts w:hint="eastAsia" w:ascii="仿宋_GB2312" w:hAnsi="宋体" w:eastAsia="仿宋_GB2312"/>
          <w:color w:val="000000"/>
          <w:sz w:val="32"/>
          <w:szCs w:val="32"/>
        </w:rPr>
        <w:t>应慎重判断无法实地走访的风险</w:t>
      </w:r>
      <w:r>
        <w:rPr>
          <w:rFonts w:ascii="仿宋_GB2312" w:hAnsi="宋体" w:eastAsia="仿宋_GB2312"/>
          <w:color w:val="000000"/>
          <w:sz w:val="32"/>
          <w:szCs w:val="32"/>
        </w:rPr>
        <w:t>，</w:t>
      </w:r>
      <w:r>
        <w:rPr>
          <w:rFonts w:hint="eastAsia" w:ascii="仿宋_GB2312" w:hAnsi="宋体" w:eastAsia="仿宋_GB2312"/>
          <w:color w:val="000000"/>
          <w:sz w:val="32"/>
          <w:szCs w:val="32"/>
        </w:rPr>
        <w:t>以及采用替代性措施是否可以有效核查项目的实施情况</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4.4 </w:t>
      </w:r>
      <w:r>
        <w:rPr>
          <w:rFonts w:hint="eastAsia" w:ascii="仿宋_GB2312" w:hAnsi="宋体" w:eastAsia="仿宋_GB2312"/>
          <w:color w:val="000000"/>
          <w:sz w:val="32"/>
          <w:szCs w:val="32"/>
        </w:rPr>
        <w:t>在合理信赖会计师已执行的函证的基础上，对未回函或回函不符的，应进一步核查原因和合理性</w:t>
      </w:r>
      <w:r>
        <w:rPr>
          <w:rFonts w:ascii="仿宋_GB2312" w:hAnsi="宋体" w:eastAsia="仿宋_GB2312"/>
          <w:color w:val="000000"/>
          <w:sz w:val="32"/>
          <w:szCs w:val="32"/>
        </w:rPr>
        <w:t>，</w:t>
      </w:r>
      <w:r>
        <w:rPr>
          <w:rFonts w:hint="eastAsia" w:ascii="仿宋_GB2312" w:hAnsi="宋体" w:eastAsia="仿宋_GB2312"/>
          <w:color w:val="000000"/>
          <w:sz w:val="32"/>
          <w:szCs w:val="32"/>
        </w:rPr>
        <w:t>并审慎判断采用替代性措施是否可以有效验证销售收入的真实性和准确性。</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4.5 </w:t>
      </w:r>
      <w:r>
        <w:rPr>
          <w:rFonts w:hint="eastAsia" w:ascii="仿宋_GB2312" w:hAnsi="宋体" w:eastAsia="仿宋_GB2312"/>
          <w:color w:val="000000"/>
          <w:sz w:val="32"/>
          <w:szCs w:val="32"/>
        </w:rPr>
        <w:t>发行人存在重大与其他方组成联合体共同施工的，通过了解联合施工的原因和合理性。查阅工程承包合同、招投标文件等资料，询问管理层或业主方，了解联合施工的工作量、合同金额的分配方式，工作量和合同金额的匹配性，分析是否存在利益交换的情形。对于重大的联合施工工程，通过实地察看施工现场，询问监理人员、现场施工人员，查阅施工日志等资料，了解联合施工双方的施工现场是否有明确的界限，联合施工双方的工作量是否可区分，核查是否存在代为施工、混同施工等利益交换的情形。了解联合施工双方工作量的确认方法，查阅工作量确认单、访谈业主方或监理单位，分析工作量是否可明确区分，核查发行人收入确认的准确性。</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4.6 发行人存在大额工程变更的，查阅变更前后的合同，询问会计师，了解合同变更的会计处理是否符合会计准则的规定，分析合同变更对收入确认、毛利率的影响。项目合同</w:t>
      </w:r>
      <w:r>
        <w:rPr>
          <w:rFonts w:hint="eastAsia" w:ascii="仿宋_GB2312" w:hAnsi="宋体" w:eastAsia="仿宋_GB2312"/>
          <w:color w:val="000000"/>
          <w:sz w:val="32"/>
          <w:szCs w:val="32"/>
        </w:rPr>
        <w:t>存在大额奖励的，结合合同条款，询问会计师，分析会计处理是否符合会计准则的规定。</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4.7 发行人存在未签订合同即开工情况</w:t>
      </w:r>
      <w:r>
        <w:rPr>
          <w:rFonts w:hint="eastAsia" w:ascii="仿宋_GB2312" w:hAnsi="宋体" w:eastAsia="仿宋_GB2312"/>
          <w:color w:val="000000"/>
          <w:sz w:val="32"/>
          <w:szCs w:val="32"/>
        </w:rPr>
        <w:t>的</w:t>
      </w:r>
      <w:r>
        <w:rPr>
          <w:rFonts w:ascii="仿宋_GB2312" w:hAnsi="宋体" w:eastAsia="仿宋_GB2312"/>
          <w:color w:val="000000"/>
          <w:sz w:val="32"/>
          <w:szCs w:val="32"/>
        </w:rPr>
        <w:t>，了解是否符合行业惯例、是否符合</w:t>
      </w:r>
      <w:r>
        <w:rPr>
          <w:rFonts w:hint="eastAsia" w:ascii="仿宋_GB2312" w:hAnsi="宋体" w:eastAsia="仿宋_GB2312"/>
          <w:color w:val="000000"/>
          <w:sz w:val="32"/>
          <w:szCs w:val="32"/>
        </w:rPr>
        <w:t>招投标等</w:t>
      </w:r>
      <w:r>
        <w:rPr>
          <w:rFonts w:ascii="仿宋_GB2312" w:hAnsi="宋体" w:eastAsia="仿宋_GB2312"/>
          <w:color w:val="000000"/>
          <w:sz w:val="32"/>
          <w:szCs w:val="32"/>
        </w:rPr>
        <w:t>相关规定，核查后续合同签订情况、存货或合同资产</w:t>
      </w:r>
      <w:r>
        <w:rPr>
          <w:rFonts w:hint="eastAsia" w:ascii="仿宋_GB2312" w:hAnsi="宋体" w:eastAsia="仿宋_GB2312"/>
          <w:color w:val="000000"/>
          <w:sz w:val="32"/>
          <w:szCs w:val="32"/>
        </w:rPr>
        <w:t>以及销售</w:t>
      </w:r>
      <w:r>
        <w:rPr>
          <w:rFonts w:ascii="仿宋_GB2312" w:hAnsi="宋体" w:eastAsia="仿宋_GB2312"/>
          <w:color w:val="000000"/>
          <w:sz w:val="32"/>
          <w:szCs w:val="32"/>
        </w:rPr>
        <w:t>收入</w:t>
      </w:r>
      <w:r>
        <w:rPr>
          <w:rFonts w:hint="eastAsia" w:ascii="仿宋_GB2312" w:hAnsi="宋体" w:eastAsia="仿宋_GB2312"/>
          <w:color w:val="000000"/>
          <w:sz w:val="32"/>
          <w:szCs w:val="32"/>
        </w:rPr>
        <w:t>的</w:t>
      </w:r>
      <w:r>
        <w:rPr>
          <w:rFonts w:ascii="仿宋_GB2312" w:hAnsi="宋体" w:eastAsia="仿宋_GB2312"/>
          <w:color w:val="000000"/>
          <w:sz w:val="32"/>
          <w:szCs w:val="32"/>
        </w:rPr>
        <w:t>确认情况，询问会计师</w:t>
      </w:r>
      <w:r>
        <w:rPr>
          <w:rFonts w:hint="eastAsia" w:ascii="仿宋_GB2312" w:hAnsi="宋体" w:eastAsia="仿宋_GB2312"/>
          <w:color w:val="000000"/>
          <w:sz w:val="32"/>
          <w:szCs w:val="32"/>
        </w:rPr>
        <w:t>、管理层，了解</w:t>
      </w:r>
      <w:r>
        <w:rPr>
          <w:rFonts w:ascii="仿宋_GB2312" w:hAnsi="宋体" w:eastAsia="仿宋_GB2312"/>
          <w:color w:val="000000"/>
          <w:sz w:val="32"/>
          <w:szCs w:val="32"/>
        </w:rPr>
        <w:t>会计处理是否符合会计准则的规定。</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184" w:name="_Toc75688177"/>
      <w:bookmarkStart w:id="185" w:name="_Toc75792101"/>
      <w:bookmarkStart w:id="186" w:name="_Toc75646002"/>
      <w:bookmarkStart w:id="187" w:name="_Toc76339960"/>
      <w:bookmarkStart w:id="188" w:name="_Toc1617208222"/>
      <w:r>
        <w:rPr>
          <w:rFonts w:hint="eastAsia" w:ascii="仿宋_GB2312" w:hAnsi="宋体" w:eastAsia="仿宋_GB2312"/>
          <w:color w:val="000000" w:themeColor="text1"/>
          <w:sz w:val="32"/>
          <w14:textFill>
            <w14:solidFill>
              <w14:schemeClr w14:val="tx1"/>
            </w14:solidFill>
          </w14:textFill>
        </w:rPr>
        <w:t>第五章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关于销售成本和毛利</w:t>
      </w:r>
      <w:bookmarkEnd w:id="184"/>
      <w:bookmarkEnd w:id="185"/>
      <w:bookmarkEnd w:id="186"/>
      <w:bookmarkEnd w:id="187"/>
      <w:bookmarkEnd w:id="188"/>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5.1 根据发行人</w:t>
      </w:r>
      <w:r>
        <w:rPr>
          <w:rFonts w:hint="eastAsia" w:ascii="仿宋_GB2312" w:hAnsi="宋体" w:eastAsia="仿宋_GB2312"/>
          <w:color w:val="000000"/>
          <w:sz w:val="32"/>
          <w:szCs w:val="32"/>
        </w:rPr>
        <w:t>主要项目的实施</w:t>
      </w:r>
      <w:r>
        <w:rPr>
          <w:rFonts w:ascii="仿宋_GB2312" w:hAnsi="宋体" w:eastAsia="仿宋_GB2312"/>
          <w:color w:val="000000"/>
          <w:sz w:val="32"/>
          <w:szCs w:val="32"/>
        </w:rPr>
        <w:t>流程</w:t>
      </w:r>
      <w:r>
        <w:rPr>
          <w:rFonts w:hint="eastAsia" w:ascii="仿宋_GB2312" w:hAnsi="宋体" w:eastAsia="仿宋_GB2312"/>
          <w:color w:val="000000"/>
          <w:sz w:val="32"/>
          <w:szCs w:val="32"/>
        </w:rPr>
        <w:t>。取得主要工程项目</w:t>
      </w:r>
      <w:r>
        <w:rPr>
          <w:rFonts w:ascii="仿宋_GB2312" w:hAnsi="宋体" w:eastAsia="仿宋_GB2312"/>
          <w:color w:val="000000"/>
          <w:sz w:val="32"/>
          <w:szCs w:val="32"/>
        </w:rPr>
        <w:t>管理文件，了解发行人</w:t>
      </w:r>
      <w:r>
        <w:rPr>
          <w:rFonts w:hint="eastAsia" w:ascii="仿宋_GB2312" w:hAnsi="宋体" w:eastAsia="仿宋_GB2312"/>
          <w:color w:val="000000"/>
          <w:sz w:val="32"/>
          <w:szCs w:val="32"/>
        </w:rPr>
        <w:t>各类成本的归集及核算流程</w:t>
      </w:r>
      <w:r>
        <w:rPr>
          <w:rFonts w:ascii="仿宋_GB2312" w:hAnsi="宋体" w:eastAsia="仿宋_GB2312"/>
          <w:color w:val="000000"/>
          <w:sz w:val="32"/>
          <w:szCs w:val="32"/>
        </w:rPr>
        <w:t>，</w:t>
      </w:r>
      <w:r>
        <w:rPr>
          <w:rFonts w:hint="eastAsia" w:ascii="仿宋_GB2312" w:hAnsi="宋体" w:eastAsia="仿宋_GB2312"/>
          <w:color w:val="000000"/>
          <w:sz w:val="32"/>
          <w:szCs w:val="32"/>
        </w:rPr>
        <w:t>核查</w:t>
      </w:r>
      <w:r>
        <w:rPr>
          <w:rFonts w:ascii="仿宋_GB2312" w:hAnsi="宋体" w:eastAsia="仿宋_GB2312"/>
          <w:color w:val="000000"/>
          <w:sz w:val="32"/>
          <w:szCs w:val="32"/>
        </w:rPr>
        <w:t>发行人报告期成本核算的方法是否保持一致。</w:t>
      </w:r>
      <w:r>
        <w:rPr>
          <w:rFonts w:hint="eastAsia" w:ascii="仿宋_GB2312" w:hAnsi="宋体" w:eastAsia="仿宋_GB2312"/>
          <w:color w:val="000000"/>
          <w:sz w:val="32"/>
          <w:szCs w:val="32"/>
        </w:rPr>
        <w:t>当企业采用投入法中成本法确认履约进度时，了解发行人合同预计总成本的估计方式、调整方法及调整频率，报告期主要项目的预计总成本频繁调整或已执行完毕项目实际成本与初始预计成本存在重大差异的</w:t>
      </w:r>
      <w:r>
        <w:rPr>
          <w:rFonts w:ascii="仿宋_GB2312" w:hAnsi="宋体" w:eastAsia="仿宋_GB2312"/>
          <w:color w:val="000000"/>
          <w:sz w:val="32"/>
          <w:szCs w:val="32"/>
        </w:rPr>
        <w:t>，</w:t>
      </w:r>
      <w:r>
        <w:rPr>
          <w:rFonts w:hint="eastAsia" w:ascii="仿宋_GB2312" w:hAnsi="宋体" w:eastAsia="仿宋_GB2312"/>
          <w:color w:val="000000"/>
          <w:sz w:val="32"/>
          <w:szCs w:val="32"/>
        </w:rPr>
        <w:t>分析原因和合理性</w:t>
      </w:r>
      <w:r>
        <w:rPr>
          <w:rFonts w:ascii="仿宋_GB2312" w:hAnsi="宋体" w:eastAsia="仿宋_GB2312"/>
          <w:color w:val="000000"/>
          <w:sz w:val="32"/>
          <w:szCs w:val="32"/>
        </w:rPr>
        <w:t>，</w:t>
      </w:r>
      <w:r>
        <w:rPr>
          <w:rFonts w:hint="eastAsia" w:ascii="仿宋_GB2312" w:hAnsi="宋体" w:eastAsia="仿宋_GB2312"/>
          <w:color w:val="000000"/>
          <w:sz w:val="32"/>
          <w:szCs w:val="32"/>
        </w:rPr>
        <w:t>分析是否存在操纵利润的情形</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获取报告期营业成本明细表</w:t>
      </w:r>
      <w:r>
        <w:rPr>
          <w:rFonts w:ascii="仿宋_GB2312" w:hAnsi="宋体" w:eastAsia="仿宋_GB2312"/>
          <w:color w:val="000000"/>
          <w:sz w:val="32"/>
          <w:szCs w:val="32"/>
        </w:rPr>
        <w:t>，</w:t>
      </w:r>
      <w:r>
        <w:rPr>
          <w:rFonts w:hint="eastAsia" w:ascii="仿宋_GB2312" w:hAnsi="宋体" w:eastAsia="仿宋_GB2312"/>
          <w:color w:val="000000"/>
          <w:sz w:val="32"/>
          <w:szCs w:val="32"/>
        </w:rPr>
        <w:t>了解主要项目成本及构成情况</w:t>
      </w:r>
      <w:r>
        <w:rPr>
          <w:rFonts w:ascii="仿宋_GB2312" w:hAnsi="宋体" w:eastAsia="仿宋_GB2312"/>
          <w:color w:val="000000"/>
          <w:sz w:val="32"/>
          <w:szCs w:val="32"/>
        </w:rPr>
        <w:t>，</w:t>
      </w:r>
      <w:r>
        <w:rPr>
          <w:rFonts w:hint="eastAsia" w:ascii="仿宋_GB2312" w:hAnsi="宋体" w:eastAsia="仿宋_GB2312"/>
          <w:color w:val="000000"/>
          <w:sz w:val="32"/>
          <w:szCs w:val="32"/>
        </w:rPr>
        <w:t>包括直接材料</w:t>
      </w:r>
      <w:r>
        <w:rPr>
          <w:rFonts w:ascii="仿宋_GB2312" w:hAnsi="宋体" w:eastAsia="仿宋_GB2312"/>
          <w:color w:val="000000"/>
          <w:sz w:val="32"/>
          <w:szCs w:val="32"/>
        </w:rPr>
        <w:t>、</w:t>
      </w:r>
      <w:r>
        <w:rPr>
          <w:rFonts w:hint="eastAsia" w:ascii="仿宋_GB2312" w:hAnsi="宋体" w:eastAsia="仿宋_GB2312"/>
          <w:color w:val="000000"/>
          <w:sz w:val="32"/>
          <w:szCs w:val="32"/>
        </w:rPr>
        <w:t>直接人工</w:t>
      </w:r>
      <w:r>
        <w:rPr>
          <w:rFonts w:ascii="仿宋_GB2312" w:hAnsi="宋体" w:eastAsia="仿宋_GB2312"/>
          <w:color w:val="000000"/>
          <w:sz w:val="32"/>
          <w:szCs w:val="32"/>
        </w:rPr>
        <w:t>、</w:t>
      </w:r>
      <w:r>
        <w:rPr>
          <w:rFonts w:hint="eastAsia" w:ascii="仿宋_GB2312" w:hAnsi="宋体" w:eastAsia="仿宋_GB2312"/>
          <w:color w:val="000000"/>
          <w:sz w:val="32"/>
          <w:szCs w:val="32"/>
        </w:rPr>
        <w:t>分包成本等</w:t>
      </w:r>
      <w:r>
        <w:rPr>
          <w:rFonts w:ascii="仿宋_GB2312" w:hAnsi="宋体" w:eastAsia="仿宋_GB2312"/>
          <w:color w:val="000000"/>
          <w:sz w:val="32"/>
          <w:szCs w:val="32"/>
        </w:rPr>
        <w:t>。</w:t>
      </w:r>
      <w:r>
        <w:rPr>
          <w:rFonts w:hint="eastAsia" w:ascii="仿宋_GB2312" w:hAnsi="宋体" w:eastAsia="仿宋_GB2312"/>
          <w:color w:val="000000"/>
          <w:sz w:val="32"/>
          <w:szCs w:val="32"/>
        </w:rPr>
        <w:t>存在大额分包成本的，核查分包的定价是否公允，分包的工作量或劳务数量与发行人的业绩是否匹配，是否存在跨期核算情形。</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5.2 </w:t>
      </w:r>
      <w:r>
        <w:rPr>
          <w:rFonts w:hint="eastAsia" w:ascii="仿宋_GB2312" w:hAnsi="宋体" w:eastAsia="仿宋_GB2312"/>
          <w:color w:val="000000"/>
          <w:sz w:val="32"/>
          <w:szCs w:val="32"/>
        </w:rPr>
        <w:t>计算发行人报告期主要项目的毛利率情况</w:t>
      </w:r>
      <w:r>
        <w:rPr>
          <w:rFonts w:ascii="仿宋_GB2312" w:hAnsi="宋体" w:eastAsia="仿宋_GB2312"/>
          <w:color w:val="000000"/>
          <w:sz w:val="32"/>
          <w:szCs w:val="32"/>
        </w:rPr>
        <w:t>，</w:t>
      </w:r>
      <w:r>
        <w:rPr>
          <w:rFonts w:hint="eastAsia" w:ascii="仿宋_GB2312" w:hAnsi="宋体" w:eastAsia="仿宋_GB2312"/>
          <w:color w:val="000000"/>
          <w:sz w:val="32"/>
          <w:szCs w:val="32"/>
        </w:rPr>
        <w:t>分析不同项目毛利率</w:t>
      </w:r>
      <w:r>
        <w:rPr>
          <w:rFonts w:ascii="仿宋_GB2312" w:hAnsi="宋体" w:eastAsia="仿宋_GB2312"/>
          <w:color w:val="000000"/>
          <w:sz w:val="32"/>
          <w:szCs w:val="32"/>
        </w:rPr>
        <w:t>、</w:t>
      </w:r>
      <w:r>
        <w:rPr>
          <w:rFonts w:hint="eastAsia" w:ascii="仿宋_GB2312" w:hAnsi="宋体" w:eastAsia="仿宋_GB2312"/>
          <w:color w:val="000000"/>
          <w:sz w:val="32"/>
          <w:szCs w:val="32"/>
        </w:rPr>
        <w:t>同一项目不同年度毛利率</w:t>
      </w:r>
      <w:r>
        <w:rPr>
          <w:rFonts w:ascii="仿宋_GB2312" w:hAnsi="宋体" w:eastAsia="仿宋_GB2312"/>
          <w:color w:val="000000"/>
          <w:sz w:val="32"/>
          <w:szCs w:val="32"/>
        </w:rPr>
        <w:t>、</w:t>
      </w:r>
      <w:r>
        <w:rPr>
          <w:rFonts w:hint="eastAsia" w:ascii="仿宋_GB2312" w:hAnsi="宋体" w:eastAsia="仿宋_GB2312"/>
          <w:color w:val="000000"/>
          <w:sz w:val="32"/>
          <w:szCs w:val="32"/>
        </w:rPr>
        <w:t>已完工项目的实际毛利率与预计毛利率的比较情况</w:t>
      </w:r>
      <w:r>
        <w:rPr>
          <w:rFonts w:ascii="仿宋_GB2312" w:hAnsi="宋体" w:eastAsia="仿宋_GB2312"/>
          <w:color w:val="000000"/>
          <w:sz w:val="32"/>
          <w:szCs w:val="32"/>
        </w:rPr>
        <w:t>，</w:t>
      </w:r>
      <w:r>
        <w:rPr>
          <w:rFonts w:hint="eastAsia" w:ascii="仿宋_GB2312" w:hAnsi="宋体" w:eastAsia="仿宋_GB2312"/>
          <w:color w:val="000000"/>
          <w:sz w:val="32"/>
          <w:szCs w:val="32"/>
        </w:rPr>
        <w:t>毛利率存在重大异常的应进行重点核查。</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5.3 取得发行人的分包情况明细表和与主要劳务外包公司签订的合同，分析报告期内发行人与主要分包商的交易变化情况，</w:t>
      </w:r>
      <w:r>
        <w:rPr>
          <w:rFonts w:hint="eastAsia" w:ascii="仿宋_GB2312" w:hAnsi="宋体" w:eastAsia="仿宋_GB2312"/>
          <w:color w:val="000000"/>
          <w:sz w:val="32"/>
          <w:szCs w:val="32"/>
        </w:rPr>
        <w:t>如存在重大变动的</w:t>
      </w:r>
      <w:r>
        <w:rPr>
          <w:rFonts w:ascii="仿宋_GB2312" w:hAnsi="宋体" w:eastAsia="仿宋_GB2312"/>
          <w:color w:val="000000"/>
          <w:sz w:val="32"/>
          <w:szCs w:val="32"/>
        </w:rPr>
        <w:t>，</w:t>
      </w:r>
      <w:r>
        <w:rPr>
          <w:rFonts w:hint="eastAsia" w:ascii="仿宋_GB2312" w:hAnsi="宋体" w:eastAsia="仿宋_GB2312"/>
          <w:color w:val="000000"/>
          <w:sz w:val="32"/>
          <w:szCs w:val="32"/>
        </w:rPr>
        <w:t>了解变动的原因和合理性。</w:t>
      </w:r>
    </w:p>
    <w:p>
      <w:pPr>
        <w:spacing w:line="360" w:lineRule="auto"/>
        <w:ind w:firstLine="640" w:firstLineChars="200"/>
        <w:jc w:val="both"/>
        <w:rPr>
          <w:rFonts w:ascii="仿宋_GB2312" w:hAnsi="宋体" w:eastAsia="仿宋_GB2312"/>
          <w:color w:val="000000"/>
          <w:sz w:val="32"/>
          <w:szCs w:val="32"/>
        </w:rPr>
      </w:pPr>
      <w:r>
        <w:rPr>
          <w:rFonts w:hint="eastAsia" w:ascii="仿宋_GB2312" w:hAnsi="宋体" w:eastAsia="仿宋_GB2312"/>
          <w:color w:val="000000"/>
          <w:sz w:val="32"/>
          <w:szCs w:val="32"/>
        </w:rPr>
        <w:t>发行人业务分包成本较大的</w:t>
      </w:r>
      <w:r>
        <w:rPr>
          <w:rFonts w:ascii="仿宋_GB2312" w:hAnsi="宋体" w:eastAsia="仿宋_GB2312"/>
          <w:color w:val="000000"/>
          <w:sz w:val="32"/>
          <w:szCs w:val="32"/>
        </w:rPr>
        <w:t>，</w:t>
      </w:r>
      <w:r>
        <w:rPr>
          <w:rFonts w:hint="eastAsia" w:ascii="仿宋_GB2312" w:hAnsi="宋体" w:eastAsia="仿宋_GB2312"/>
          <w:color w:val="000000"/>
          <w:sz w:val="32"/>
          <w:szCs w:val="32"/>
        </w:rPr>
        <w:t>了解业务分包的具体情况，包括报告期内各期分包采购金额、分包内容、分包商、开工时间、完工时间（或报告期末完工进度）、款项支付情况、报告期末应付账款余额等，并结合业务分包商的成立时间、建立合作时间、注册资本、注册地址、办公电话、主要管理人员构成等情况，核查报告期主要的分包商</w:t>
      </w:r>
      <w:r>
        <w:rPr>
          <w:rFonts w:ascii="仿宋_GB2312" w:hAnsi="宋体" w:eastAsia="仿宋_GB2312"/>
          <w:color w:val="000000"/>
          <w:sz w:val="32"/>
          <w:szCs w:val="32"/>
        </w:rPr>
        <w:t>是否</w:t>
      </w:r>
      <w:r>
        <w:rPr>
          <w:rFonts w:hint="eastAsia" w:ascii="仿宋_GB2312" w:hAnsi="宋体" w:eastAsia="仿宋_GB2312"/>
          <w:color w:val="000000"/>
          <w:sz w:val="32"/>
          <w:szCs w:val="32"/>
        </w:rPr>
        <w:t>与发行人存在关联关系</w:t>
      </w:r>
      <w:r>
        <w:rPr>
          <w:rFonts w:ascii="仿宋_GB2312" w:hAnsi="宋体" w:eastAsia="仿宋_GB2312"/>
          <w:color w:val="000000"/>
          <w:sz w:val="32"/>
          <w:szCs w:val="32"/>
        </w:rPr>
        <w:t>，</w:t>
      </w:r>
      <w:r>
        <w:rPr>
          <w:rFonts w:hint="eastAsia" w:ascii="仿宋_GB2312" w:hAnsi="宋体" w:eastAsia="仿宋_GB2312"/>
          <w:color w:val="000000"/>
          <w:sz w:val="32"/>
          <w:szCs w:val="32"/>
        </w:rPr>
        <w:t>业务分包对发行人独立性的影响</w:t>
      </w:r>
      <w:r>
        <w:rPr>
          <w:rFonts w:ascii="仿宋_GB2312" w:hAnsi="宋体" w:eastAsia="仿宋_GB2312"/>
          <w:color w:val="000000"/>
          <w:sz w:val="32"/>
          <w:szCs w:val="32"/>
        </w:rPr>
        <w:t>。</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189" w:name="_Toc306668917"/>
      <w:bookmarkStart w:id="190" w:name="_Toc75792102"/>
      <w:bookmarkStart w:id="191" w:name="_Toc75688178"/>
      <w:bookmarkStart w:id="192" w:name="_Toc76339961"/>
      <w:bookmarkStart w:id="193" w:name="_Toc75646003"/>
      <w:r>
        <w:rPr>
          <w:rFonts w:hint="eastAsia" w:ascii="仿宋_GB2312" w:hAnsi="宋体" w:eastAsia="仿宋_GB2312"/>
          <w:color w:val="000000" w:themeColor="text1"/>
          <w:sz w:val="32"/>
          <w14:textFill>
            <w14:solidFill>
              <w14:schemeClr w14:val="tx1"/>
            </w14:solidFill>
          </w14:textFill>
        </w:rPr>
        <w:t>第六章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其他</w:t>
      </w:r>
      <w:bookmarkEnd w:id="189"/>
      <w:bookmarkEnd w:id="190"/>
      <w:bookmarkEnd w:id="191"/>
      <w:bookmarkEnd w:id="192"/>
      <w:bookmarkEnd w:id="193"/>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6.1 </w:t>
      </w:r>
      <w:r>
        <w:rPr>
          <w:rFonts w:hint="eastAsia" w:ascii="仿宋_GB2312" w:hAnsi="宋体" w:eastAsia="仿宋_GB2312"/>
          <w:color w:val="000000"/>
          <w:sz w:val="32"/>
          <w:szCs w:val="32"/>
        </w:rPr>
        <w:t>获取合同资产</w:t>
      </w:r>
      <w:r>
        <w:rPr>
          <w:rFonts w:ascii="仿宋_GB2312" w:hAnsi="宋体" w:eastAsia="仿宋_GB2312"/>
          <w:color w:val="000000"/>
          <w:sz w:val="32"/>
          <w:szCs w:val="32"/>
        </w:rPr>
        <w:t>、</w:t>
      </w:r>
      <w:r>
        <w:rPr>
          <w:rFonts w:hint="eastAsia" w:ascii="仿宋_GB2312" w:hAnsi="宋体" w:eastAsia="仿宋_GB2312"/>
          <w:color w:val="000000"/>
          <w:sz w:val="32"/>
          <w:szCs w:val="32"/>
        </w:rPr>
        <w:t>合同负债、合同履约成本明细表</w:t>
      </w:r>
      <w:r>
        <w:rPr>
          <w:rFonts w:ascii="仿宋_GB2312" w:hAnsi="宋体" w:eastAsia="仿宋_GB2312"/>
          <w:color w:val="000000"/>
          <w:sz w:val="32"/>
          <w:szCs w:val="32"/>
        </w:rPr>
        <w:t>，</w:t>
      </w:r>
      <w:r>
        <w:rPr>
          <w:rFonts w:hint="eastAsia" w:ascii="仿宋_GB2312" w:hAnsi="宋体" w:eastAsia="仿宋_GB2312"/>
          <w:color w:val="000000"/>
          <w:sz w:val="32"/>
          <w:szCs w:val="32"/>
        </w:rPr>
        <w:t>询问会计师，结合主要工程项目结算条款</w:t>
      </w:r>
      <w:r>
        <w:rPr>
          <w:rFonts w:ascii="仿宋_GB2312" w:hAnsi="宋体" w:eastAsia="仿宋_GB2312"/>
          <w:color w:val="000000"/>
          <w:sz w:val="32"/>
          <w:szCs w:val="32"/>
        </w:rPr>
        <w:t>、</w:t>
      </w:r>
      <w:r>
        <w:rPr>
          <w:rFonts w:hint="eastAsia" w:ascii="仿宋_GB2312" w:hAnsi="宋体" w:eastAsia="仿宋_GB2312"/>
          <w:color w:val="000000"/>
          <w:sz w:val="32"/>
          <w:szCs w:val="32"/>
        </w:rPr>
        <w:t>履约进度</w:t>
      </w:r>
      <w:r>
        <w:rPr>
          <w:rFonts w:ascii="仿宋_GB2312" w:hAnsi="宋体" w:eastAsia="仿宋_GB2312"/>
          <w:color w:val="000000"/>
          <w:sz w:val="32"/>
          <w:szCs w:val="32"/>
        </w:rPr>
        <w:t>、</w:t>
      </w:r>
      <w:r>
        <w:rPr>
          <w:rFonts w:hint="eastAsia" w:ascii="仿宋_GB2312" w:hAnsi="宋体" w:eastAsia="仿宋_GB2312"/>
          <w:color w:val="000000"/>
          <w:sz w:val="32"/>
          <w:szCs w:val="32"/>
        </w:rPr>
        <w:t>收入确认方法等</w:t>
      </w:r>
      <w:r>
        <w:rPr>
          <w:rFonts w:ascii="仿宋_GB2312" w:hAnsi="宋体" w:eastAsia="仿宋_GB2312"/>
          <w:color w:val="000000"/>
          <w:sz w:val="32"/>
          <w:szCs w:val="32"/>
        </w:rPr>
        <w:t>，</w:t>
      </w:r>
      <w:r>
        <w:rPr>
          <w:rFonts w:hint="eastAsia" w:ascii="仿宋_GB2312" w:hAnsi="宋体" w:eastAsia="仿宋_GB2312"/>
          <w:color w:val="000000"/>
          <w:sz w:val="32"/>
          <w:szCs w:val="32"/>
        </w:rPr>
        <w:t>了解合同资产</w:t>
      </w:r>
      <w:r>
        <w:rPr>
          <w:rFonts w:ascii="仿宋_GB2312" w:hAnsi="宋体" w:eastAsia="仿宋_GB2312"/>
          <w:color w:val="000000"/>
          <w:sz w:val="32"/>
          <w:szCs w:val="32"/>
        </w:rPr>
        <w:t>、</w:t>
      </w:r>
      <w:r>
        <w:rPr>
          <w:rFonts w:hint="eastAsia" w:ascii="仿宋_GB2312" w:hAnsi="宋体" w:eastAsia="仿宋_GB2312"/>
          <w:color w:val="000000"/>
          <w:sz w:val="32"/>
          <w:szCs w:val="32"/>
        </w:rPr>
        <w:t>合同负债、合同履约成本确认是否符合会计准则的规定</w:t>
      </w:r>
      <w:r>
        <w:rPr>
          <w:rFonts w:ascii="仿宋_GB2312" w:hAnsi="宋体" w:eastAsia="仿宋_GB2312"/>
          <w:color w:val="000000"/>
          <w:sz w:val="32"/>
          <w:szCs w:val="32"/>
        </w:rPr>
        <w:t>。</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了解合同资产</w:t>
      </w:r>
      <w:r>
        <w:rPr>
          <w:rFonts w:ascii="仿宋_GB2312" w:hAnsi="宋体" w:eastAsia="仿宋_GB2312"/>
          <w:color w:val="000000"/>
          <w:sz w:val="32"/>
          <w:szCs w:val="32"/>
        </w:rPr>
        <w:t>、</w:t>
      </w:r>
      <w:r>
        <w:rPr>
          <w:rFonts w:hint="eastAsia" w:ascii="仿宋_GB2312" w:hAnsi="宋体" w:eastAsia="仿宋_GB2312"/>
          <w:color w:val="000000"/>
          <w:sz w:val="32"/>
          <w:szCs w:val="32"/>
        </w:rPr>
        <w:t>合同负债的账龄情况</w:t>
      </w:r>
      <w:r>
        <w:rPr>
          <w:rFonts w:ascii="仿宋_GB2312" w:hAnsi="宋体" w:eastAsia="仿宋_GB2312"/>
          <w:color w:val="000000"/>
          <w:sz w:val="32"/>
          <w:szCs w:val="32"/>
        </w:rPr>
        <w:t>，</w:t>
      </w:r>
      <w:r>
        <w:rPr>
          <w:rFonts w:hint="eastAsia" w:ascii="仿宋_GB2312" w:hAnsi="宋体" w:eastAsia="仿宋_GB2312"/>
          <w:color w:val="000000"/>
          <w:sz w:val="32"/>
          <w:szCs w:val="32"/>
        </w:rPr>
        <w:t>如存在长期未结转的</w:t>
      </w:r>
      <w:r>
        <w:rPr>
          <w:rFonts w:ascii="仿宋_GB2312" w:hAnsi="宋体" w:eastAsia="仿宋_GB2312"/>
          <w:color w:val="000000"/>
          <w:sz w:val="32"/>
          <w:szCs w:val="32"/>
        </w:rPr>
        <w:t>，</w:t>
      </w:r>
      <w:r>
        <w:rPr>
          <w:rFonts w:hint="eastAsia" w:ascii="仿宋_GB2312" w:hAnsi="宋体" w:eastAsia="仿宋_GB2312"/>
          <w:color w:val="000000"/>
          <w:sz w:val="32"/>
          <w:szCs w:val="32"/>
        </w:rPr>
        <w:t>分析长期未结转的原因和合理性</w:t>
      </w:r>
      <w:r>
        <w:rPr>
          <w:rFonts w:ascii="仿宋_GB2312" w:hAnsi="宋体" w:eastAsia="仿宋_GB2312"/>
          <w:color w:val="000000"/>
          <w:sz w:val="32"/>
          <w:szCs w:val="32"/>
        </w:rPr>
        <w:t>，</w:t>
      </w:r>
      <w:r>
        <w:rPr>
          <w:rFonts w:hint="eastAsia" w:ascii="仿宋_GB2312" w:hAnsi="宋体" w:eastAsia="仿宋_GB2312"/>
          <w:color w:val="000000"/>
          <w:sz w:val="32"/>
          <w:szCs w:val="32"/>
        </w:rPr>
        <w:t>核查是否与业主方存在纠纷。结合工程的进展情况</w:t>
      </w:r>
      <w:r>
        <w:rPr>
          <w:rFonts w:ascii="仿宋_GB2312" w:hAnsi="宋体" w:eastAsia="仿宋_GB2312"/>
          <w:color w:val="000000"/>
          <w:sz w:val="32"/>
          <w:szCs w:val="32"/>
        </w:rPr>
        <w:t>，</w:t>
      </w:r>
      <w:r>
        <w:rPr>
          <w:rFonts w:hint="eastAsia" w:ascii="仿宋_GB2312" w:hAnsi="宋体" w:eastAsia="仿宋_GB2312"/>
          <w:color w:val="000000"/>
          <w:sz w:val="32"/>
          <w:szCs w:val="32"/>
        </w:rPr>
        <w:t>核查合同资产的可回收性</w:t>
      </w:r>
      <w:r>
        <w:rPr>
          <w:rFonts w:ascii="仿宋_GB2312" w:hAnsi="宋体" w:eastAsia="仿宋_GB2312"/>
          <w:color w:val="000000"/>
          <w:sz w:val="32"/>
          <w:szCs w:val="32"/>
        </w:rPr>
        <w:t>，</w:t>
      </w:r>
      <w:r>
        <w:rPr>
          <w:rFonts w:hint="eastAsia" w:ascii="仿宋_GB2312" w:hAnsi="宋体" w:eastAsia="仿宋_GB2312"/>
          <w:color w:val="000000"/>
          <w:sz w:val="32"/>
          <w:szCs w:val="32"/>
        </w:rPr>
        <w:t>减值准备计提方法是否合理，提取数额是否充分，</w:t>
      </w:r>
      <w:r>
        <w:rPr>
          <w:rFonts w:ascii="仿宋_GB2312" w:hAnsi="宋体" w:eastAsia="仿宋_GB2312"/>
          <w:color w:val="000000"/>
          <w:sz w:val="32"/>
          <w:szCs w:val="32"/>
        </w:rPr>
        <w:t>是否存在操纵经营业绩的情形。</w:t>
      </w:r>
      <w:r>
        <w:rPr>
          <w:rFonts w:hint="eastAsia" w:ascii="仿宋_GB2312" w:hAnsi="宋体" w:eastAsia="仿宋_GB2312"/>
          <w:color w:val="000000"/>
          <w:sz w:val="32"/>
          <w:szCs w:val="32"/>
        </w:rPr>
        <w:t>了解合同履约成本的库龄情况，如长期未结转的，分析长期未结转的原因，核查减值准备计提方法是否合理，提取数额是否充分。</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6.2 </w:t>
      </w:r>
      <w:r>
        <w:rPr>
          <w:rFonts w:hint="eastAsia" w:ascii="仿宋_GB2312" w:hAnsi="宋体" w:eastAsia="仿宋_GB2312"/>
          <w:color w:val="000000"/>
          <w:sz w:val="32"/>
          <w:szCs w:val="32"/>
        </w:rPr>
        <w:t>了解发行人是否存在已竣工并实际交付的工程项目的合同资产余额未及时结转情形，若存在该情形，进一步了解合同规定的结算条件与结算时点、施工记录与竣工支付资料、按履约进度确认的收入、成本与毛利情况、合同资产与应收账款的权利区别与风险差异，调查合同资产与应收账款的分类是否正确。同时，应充分考虑相关风险特征分别确定并披露合同资产和应收账款的减值准备计提方法，核查相关减值准备计提是否充分。</w:t>
      </w:r>
    </w:p>
    <w:p>
      <w:pPr>
        <w:spacing w:line="360" w:lineRule="auto"/>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 xml:space="preserve">6.3 </w:t>
      </w:r>
      <w:r>
        <w:rPr>
          <w:rFonts w:hint="eastAsia" w:ascii="仿宋_GB2312" w:hAnsi="宋体" w:eastAsia="仿宋_GB2312"/>
          <w:color w:val="000000"/>
          <w:sz w:val="32"/>
          <w:szCs w:val="32"/>
        </w:rPr>
        <w:t>若发行人报告期内存在</w:t>
      </w:r>
      <w:r>
        <w:rPr>
          <w:rFonts w:ascii="仿宋_GB2312" w:hAnsi="宋体" w:eastAsia="仿宋_GB2312"/>
          <w:color w:val="000000"/>
          <w:sz w:val="32"/>
          <w:szCs w:val="32"/>
        </w:rPr>
        <w:t>BOT项目的，询问会计师</w:t>
      </w:r>
      <w:r>
        <w:rPr>
          <w:rFonts w:hint="eastAsia" w:ascii="仿宋_GB2312" w:hAnsi="宋体" w:eastAsia="仿宋_GB2312"/>
          <w:color w:val="000000"/>
          <w:sz w:val="32"/>
          <w:szCs w:val="32"/>
        </w:rPr>
        <w:t>、管理层</w:t>
      </w:r>
      <w:r>
        <w:rPr>
          <w:rFonts w:ascii="仿宋_GB2312" w:hAnsi="宋体" w:eastAsia="仿宋_GB2312"/>
          <w:color w:val="000000"/>
          <w:sz w:val="32"/>
          <w:szCs w:val="32"/>
        </w:rPr>
        <w:t>，了解建造阶段</w:t>
      </w:r>
      <w:r>
        <w:rPr>
          <w:rFonts w:hint="eastAsia" w:ascii="仿宋_GB2312" w:hAnsi="宋体" w:eastAsia="仿宋_GB2312"/>
          <w:color w:val="000000"/>
          <w:sz w:val="32"/>
          <w:szCs w:val="32"/>
        </w:rPr>
        <w:t>、</w:t>
      </w:r>
      <w:r>
        <w:rPr>
          <w:rFonts w:ascii="仿宋_GB2312" w:hAnsi="宋体" w:eastAsia="仿宋_GB2312"/>
          <w:color w:val="000000"/>
          <w:sz w:val="32"/>
          <w:szCs w:val="32"/>
        </w:rPr>
        <w:t>运营阶段</w:t>
      </w:r>
      <w:r>
        <w:rPr>
          <w:rFonts w:hint="eastAsia" w:ascii="仿宋_GB2312" w:hAnsi="宋体" w:eastAsia="仿宋_GB2312"/>
          <w:color w:val="000000"/>
          <w:sz w:val="32"/>
          <w:szCs w:val="32"/>
        </w:rPr>
        <w:t>等不同阶段的</w:t>
      </w:r>
      <w:r>
        <w:rPr>
          <w:rFonts w:ascii="仿宋_GB2312" w:hAnsi="宋体" w:eastAsia="仿宋_GB2312"/>
          <w:color w:val="000000"/>
          <w:sz w:val="32"/>
          <w:szCs w:val="32"/>
        </w:rPr>
        <w:t>会计处理</w:t>
      </w:r>
      <w:r>
        <w:rPr>
          <w:rFonts w:hint="eastAsia" w:ascii="仿宋_GB2312" w:hAnsi="宋体" w:eastAsia="仿宋_GB2312"/>
          <w:color w:val="000000"/>
          <w:sz w:val="32"/>
          <w:szCs w:val="32"/>
        </w:rPr>
        <w:t>以及</w:t>
      </w:r>
      <w:r>
        <w:rPr>
          <w:rFonts w:ascii="仿宋_GB2312" w:hAnsi="宋体" w:eastAsia="仿宋_GB2312"/>
          <w:color w:val="000000"/>
          <w:sz w:val="32"/>
          <w:szCs w:val="32"/>
        </w:rPr>
        <w:t>是否符合会计准则的规定。查阅BOT</w:t>
      </w:r>
      <w:r>
        <w:rPr>
          <w:rFonts w:ascii="仿宋_GB2312" w:eastAsia="仿宋_GB2312"/>
          <w:color w:val="000000"/>
          <w:sz w:val="32"/>
          <w:szCs w:val="32"/>
        </w:rPr>
        <w:t>合同的具体条款，了解公司在项目建造过程中承担的义务及是否能从合同授予方取得确定的收费金额，通过访谈相关人员等方式，了解发行人在实施建造活动中从事的具体内容、拥有的技术和资质，评估管理层对项目建造业务所作的判断。</w:t>
      </w:r>
    </w:p>
    <w:p>
      <w:pPr>
        <w:spacing w:line="360" w:lineRule="auto"/>
        <w:ind w:firstLine="640" w:firstLineChars="200"/>
        <w:rPr>
          <w:rFonts w:ascii="仿宋_GB2312" w:eastAsia="仿宋_GB2312"/>
          <w:color w:val="000000"/>
          <w:sz w:val="32"/>
          <w:szCs w:val="32"/>
        </w:rPr>
      </w:pPr>
      <w:r>
        <w:rPr>
          <w:rFonts w:ascii="仿宋_GB2312" w:eastAsia="仿宋_GB2312"/>
          <w:color w:val="000000"/>
          <w:sz w:val="32"/>
          <w:szCs w:val="32"/>
        </w:rPr>
        <w:t>通过查阅项目公司与政府有关的收入结算资料，现场观察项目的运营情况以及与发行人相关人员进行访谈，评估项目减值迹象确定标准，了解报告期各个项目的减值情况，存在减值的，需要了解减值的原因、相关减值准备的计量方式以及在无形资产和金融资产之间的分配方式。</w:t>
      </w:r>
    </w:p>
    <w:p>
      <w:pPr>
        <w:spacing w:line="360" w:lineRule="auto"/>
        <w:ind w:firstLine="640" w:firstLineChars="200"/>
        <w:rPr>
          <w:rFonts w:ascii="仿宋_GB2312" w:hAnsi="宋体" w:eastAsia="仿宋_GB2312"/>
          <w:color w:val="000000"/>
          <w:sz w:val="32"/>
          <w:szCs w:val="32"/>
        </w:rPr>
      </w:pPr>
      <w:r>
        <w:rPr>
          <w:rFonts w:ascii="仿宋_GB2312" w:eastAsia="仿宋_GB2312"/>
          <w:color w:val="000000"/>
          <w:sz w:val="32"/>
          <w:szCs w:val="32"/>
        </w:rPr>
        <w:t>通过查阅项目立项资料、重大的工程建设及采购合同、采购付款记录、工程竣工结算书、对特许经营权摊销年限及摊销金额进行复核与验算等方式，了解</w:t>
      </w:r>
      <w:r>
        <w:rPr>
          <w:rFonts w:hint="eastAsia" w:ascii="仿宋_GB2312" w:hAnsi="宋体" w:eastAsia="仿宋_GB2312"/>
          <w:color w:val="000000"/>
          <w:sz w:val="32"/>
          <w:szCs w:val="32"/>
        </w:rPr>
        <w:t>特许经营权的初始确认和计量依据，分析和判断各项目对应特许经营权的会计核算是否符合企业会计准则的规定，与同行业可比公司是否一致。调查和了解主要项目的运营、试运营、在建等状态情况，以及报告期各期对应的特许经营权金额、特许经营项目的运营期限、剩余摊销期限、账面原值及账面价值。</w:t>
      </w:r>
    </w:p>
    <w:p>
      <w:pPr>
        <w:spacing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6.4</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了解发行人是否与自然人、关联方等存在大额资金往来。若存在该情形，进一步核查控股股东、实际控制人、发行人主要关联方、董监高、关键岗位人员等开立或控制的银行账户资金流水，关注发行人是否存在资金占用、体外资金循环形成销售回款或承担成本费用等情形。</w:t>
      </w:r>
    </w:p>
    <w:p>
      <w:pPr>
        <w:widowControl/>
        <w:jc w:val="left"/>
        <w:rPr>
          <w:sz w:val="24"/>
        </w:rPr>
      </w:pPr>
      <w:r>
        <w:rPr>
          <w:sz w:val="24"/>
        </w:rPr>
        <w:br w:type="page"/>
      </w:r>
    </w:p>
    <w:p>
      <w:pPr>
        <w:pStyle w:val="33"/>
        <w:spacing w:before="0" w:after="0" w:line="360" w:lineRule="auto"/>
        <w:jc w:val="left"/>
        <w:outlineLvl w:val="1"/>
        <w:rPr>
          <w:rFonts w:ascii="仿宋_GB2312" w:hAnsi="宋体" w:eastAsia="仿宋_GB2312"/>
          <w:color w:val="000000" w:themeColor="text1"/>
          <w:sz w:val="32"/>
          <w14:textFill>
            <w14:solidFill>
              <w14:schemeClr w14:val="tx1"/>
            </w14:solidFill>
          </w14:textFill>
        </w:rPr>
      </w:pPr>
      <w:bookmarkStart w:id="194" w:name="_Toc76472400"/>
      <w:bookmarkStart w:id="195" w:name="_Toc75688179"/>
      <w:bookmarkStart w:id="196" w:name="_Toc105940663"/>
      <w:r>
        <w:rPr>
          <w:rFonts w:hint="eastAsia" w:ascii="仿宋_GB2312" w:hAnsi="宋体" w:eastAsia="仿宋_GB2312"/>
          <w:color w:val="000000" w:themeColor="text1"/>
          <w:sz w:val="32"/>
          <w14:textFill>
            <w14:solidFill>
              <w14:schemeClr w14:val="tx1"/>
            </w14:solidFill>
          </w14:textFill>
        </w:rPr>
        <w:t>附件</w:t>
      </w:r>
      <w:r>
        <w:rPr>
          <w:rFonts w:ascii="仿宋_GB2312" w:hAnsi="宋体" w:eastAsia="仿宋_GB2312"/>
          <w:color w:val="000000" w:themeColor="text1"/>
          <w:sz w:val="32"/>
          <w14:textFill>
            <w14:solidFill>
              <w14:schemeClr w14:val="tx1"/>
            </w14:solidFill>
          </w14:textFill>
        </w:rPr>
        <w:t>2</w:t>
      </w:r>
      <w:bookmarkEnd w:id="194"/>
      <w:bookmarkEnd w:id="195"/>
      <w:bookmarkEnd w:id="196"/>
    </w:p>
    <w:p>
      <w:pPr>
        <w:pStyle w:val="33"/>
        <w:spacing w:before="0" w:after="0" w:line="360" w:lineRule="auto"/>
        <w:outlineLvl w:val="1"/>
        <w:rPr>
          <w:rFonts w:ascii="仿宋_GB2312" w:hAnsi="宋体" w:eastAsia="仿宋_GB2312"/>
          <w:color w:val="000000" w:themeColor="text1"/>
          <w:sz w:val="32"/>
          <w14:textFill>
            <w14:solidFill>
              <w14:schemeClr w14:val="tx1"/>
            </w14:solidFill>
          </w14:textFill>
        </w:rPr>
      </w:pPr>
      <w:bookmarkStart w:id="197" w:name="_Toc76472401"/>
      <w:bookmarkStart w:id="198" w:name="_Toc76471941"/>
      <w:bookmarkStart w:id="199" w:name="_Toc105940664"/>
      <w:r>
        <w:rPr>
          <w:rFonts w:hint="eastAsia" w:ascii="仿宋_GB2312" w:hAnsi="宋体" w:eastAsia="仿宋_GB2312"/>
          <w:color w:val="000000" w:themeColor="text1"/>
          <w:sz w:val="32"/>
          <w14:textFill>
            <w14:solidFill>
              <w14:schemeClr w14:val="tx1"/>
            </w14:solidFill>
          </w14:textFill>
        </w:rPr>
        <w:t>特定行业保荐人尽职调查工作指南第</w:t>
      </w:r>
      <w:r>
        <w:rPr>
          <w:rFonts w:ascii="仿宋_GB2312" w:hAnsi="宋体" w:eastAsia="仿宋_GB2312"/>
          <w:color w:val="000000" w:themeColor="text1"/>
          <w:sz w:val="32"/>
          <w14:textFill>
            <w14:solidFill>
              <w14:schemeClr w14:val="tx1"/>
            </w14:solidFill>
          </w14:textFill>
        </w:rPr>
        <w:t>2号</w:t>
      </w:r>
      <w:bookmarkEnd w:id="197"/>
      <w:bookmarkEnd w:id="198"/>
      <w:bookmarkEnd w:id="199"/>
    </w:p>
    <w:p>
      <w:pPr>
        <w:pStyle w:val="33"/>
        <w:spacing w:before="0" w:after="0" w:line="360" w:lineRule="auto"/>
        <w:outlineLvl w:val="1"/>
        <w:rPr>
          <w:rFonts w:ascii="仿宋_GB2312" w:hAnsi="宋体" w:eastAsia="仿宋_GB2312"/>
          <w:color w:val="000000" w:themeColor="text1"/>
          <w:sz w:val="32"/>
          <w14:textFill>
            <w14:solidFill>
              <w14:schemeClr w14:val="tx1"/>
            </w14:solidFill>
          </w14:textFill>
        </w:rPr>
      </w:pPr>
      <w:bookmarkStart w:id="200" w:name="_Toc76471942"/>
      <w:bookmarkStart w:id="201" w:name="_Toc105940665"/>
      <w:bookmarkStart w:id="202" w:name="_Toc76472402"/>
      <w:bookmarkStart w:id="203" w:name="_Toc1233187601"/>
      <w:r>
        <w:rPr>
          <w:rFonts w:hint="eastAsia" w:ascii="仿宋_GB2312" w:hAnsi="宋体" w:eastAsia="仿宋_GB2312"/>
          <w:color w:val="000000" w:themeColor="text1"/>
          <w:sz w:val="32"/>
          <w14:textFill>
            <w14:solidFill>
              <w14:schemeClr w14:val="tx1"/>
            </w14:solidFill>
          </w14:textFill>
        </w:rPr>
        <w:t>——互联网企业</w:t>
      </w:r>
      <w:bookmarkEnd w:id="200"/>
      <w:bookmarkEnd w:id="201"/>
      <w:bookmarkEnd w:id="202"/>
      <w:bookmarkEnd w:id="203"/>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04" w:name="_Toc75646004"/>
      <w:bookmarkStart w:id="205" w:name="_Toc75688181"/>
      <w:bookmarkStart w:id="206" w:name="_Toc1609898652"/>
      <w:bookmarkStart w:id="207" w:name="_Toc75792103"/>
      <w:bookmarkStart w:id="208" w:name="_Toc76339963"/>
      <w:r>
        <w:rPr>
          <w:rFonts w:hint="eastAsia" w:ascii="仿宋_GB2312" w:hAnsi="宋体" w:eastAsia="仿宋_GB2312"/>
          <w:color w:val="000000" w:themeColor="text1"/>
          <w:sz w:val="32"/>
          <w14:textFill>
            <w14:solidFill>
              <w14:schemeClr w14:val="tx1"/>
            </w14:solidFill>
          </w14:textFill>
        </w:rPr>
        <w:t>第一章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引言</w:t>
      </w:r>
      <w:bookmarkEnd w:id="204"/>
      <w:bookmarkEnd w:id="205"/>
      <w:bookmarkEnd w:id="206"/>
      <w:bookmarkEnd w:id="207"/>
      <w:bookmarkEnd w:id="208"/>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1.1 本指南旨在根据互联网行业企业的业务特点、结合影响互联网企业合法合</w:t>
      </w:r>
      <w:r>
        <w:rPr>
          <w:rFonts w:hint="eastAsia" w:ascii="仿宋_GB2312" w:hAnsi="宋体" w:eastAsia="仿宋_GB2312"/>
          <w:color w:val="000000" w:themeColor="text1"/>
          <w:sz w:val="32"/>
          <w:szCs w:val="32"/>
          <w14:textFill>
            <w14:solidFill>
              <w14:schemeClr w14:val="tx1"/>
            </w14:solidFill>
          </w14:textFill>
        </w:rPr>
        <w:t>规及持续经营的主要因素，提示上述事项在保荐人尽职调查过程中需要关注的主要风险和问题，以及针对上述风险和问题所应采取的一般性核查方法。保荐人可针对企业的具体业务特点、风险判断及重要性原则，选择性采用、补充或完善。</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1.2 互联网行业企业普遍具有业务渠道广泛、科技与创新性强、用户覆盖面广、交易密集且交易数据量巨大、主要经营业务依赖信息系统等主要特点。</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1.3 本指南适用于按照《国民经济行业分类》属于互联网和相关服务行业企业</w:t>
      </w:r>
      <w:r>
        <w:rPr>
          <w:rFonts w:hint="eastAsia" w:ascii="仿宋_GB2312" w:hAnsi="宋体" w:eastAsia="仿宋_GB2312"/>
          <w:color w:val="000000"/>
          <w:sz w:val="32"/>
          <w:szCs w:val="32"/>
        </w:rPr>
        <w:t>拟首次公开发行</w:t>
      </w:r>
      <w:r>
        <w:rPr>
          <w:rFonts w:ascii="仿宋_GB2312" w:hAnsi="宋体" w:eastAsia="仿宋_GB2312"/>
          <w:color w:val="000000"/>
          <w:sz w:val="32"/>
          <w:szCs w:val="32"/>
        </w:rPr>
        <w:t>A股股票或存托凭证</w:t>
      </w:r>
      <w:r>
        <w:rPr>
          <w:rFonts w:ascii="仿宋_GB2312" w:hAnsi="宋体" w:eastAsia="仿宋_GB2312"/>
          <w:color w:val="000000" w:themeColor="text1"/>
          <w:sz w:val="32"/>
          <w:szCs w:val="32"/>
          <w14:textFill>
            <w14:solidFill>
              <w14:schemeClr w14:val="tx1"/>
            </w14:solidFill>
          </w14:textFill>
        </w:rPr>
        <w:t>的尽职调查，包括互联网接入及相关服务、互联网信息服务、互联网平台、互联网安全服务、互联网数据服务及其他互联网服务；主要通过互联网开展业务的企业，如存在报告期任意一期通过互联网取得的营业收入占比或毛利占比超过30%的情形，原则上应参照本指南有关内容进行核查。</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1.4 </w:t>
      </w:r>
      <w:r>
        <w:rPr>
          <w:rFonts w:hint="eastAsia" w:ascii="仿宋_GB2312" w:hAnsi="宋体" w:eastAsia="仿宋_GB2312"/>
          <w:color w:val="000000" w:themeColor="text1"/>
          <w:sz w:val="32"/>
          <w:szCs w:val="32"/>
          <w14:textFill>
            <w14:solidFill>
              <w14:schemeClr w14:val="tx1"/>
            </w14:solidFill>
          </w14:textFill>
        </w:rPr>
        <w:t>保荐人对互联网行业企业的尽职调查在适用本指南时，还应当遵守《保荐人尽职调查工作准则》中的各项规定。</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09" w:name="_Toc76339964"/>
      <w:bookmarkStart w:id="210" w:name="_Toc75646005"/>
      <w:bookmarkStart w:id="211" w:name="_Toc1242227735"/>
      <w:bookmarkStart w:id="212" w:name="_Toc75688182"/>
      <w:bookmarkStart w:id="213" w:name="_Toc75792104"/>
      <w:r>
        <w:rPr>
          <w:rFonts w:hint="eastAsia" w:ascii="仿宋_GB2312" w:hAnsi="宋体" w:eastAsia="仿宋_GB2312"/>
          <w:color w:val="000000" w:themeColor="text1"/>
          <w:sz w:val="32"/>
          <w14:textFill>
            <w14:solidFill>
              <w14:schemeClr w14:val="tx1"/>
            </w14:solidFill>
          </w14:textFill>
        </w:rPr>
        <w:t>第二章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经营资质调查</w:t>
      </w:r>
      <w:bookmarkEnd w:id="209"/>
      <w:bookmarkEnd w:id="210"/>
      <w:bookmarkEnd w:id="211"/>
      <w:bookmarkEnd w:id="212"/>
      <w:bookmarkEnd w:id="213"/>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2.1 经营资质的完整性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了解发行人业务模式、发行人所属行业模式，取得发行人母子公司各个法律主体的资质文件，并结合发行人母子公司所从事的全部业务，调查和了解发行人是否已取得当时有效的法律法规规定的全部资质，是否已履行了必要的审批或备案程序，是否存在应取得未取得或超越资质经营的情况，是否存在后续被要求整改或行政处罚等影响业务持续运行的风险。</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2.2 经营资质的合法合</w:t>
      </w:r>
      <w:r>
        <w:rPr>
          <w:rFonts w:hint="eastAsia" w:ascii="仿宋_GB2312" w:hAnsi="宋体" w:eastAsia="仿宋_GB2312"/>
          <w:color w:val="000000" w:themeColor="text1"/>
          <w:sz w:val="32"/>
          <w:szCs w:val="32"/>
          <w14:textFill>
            <w14:solidFill>
              <w14:schemeClr w14:val="tx1"/>
            </w14:solidFill>
          </w14:textFill>
        </w:rPr>
        <w:t>规性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调查发行人母子公司所从事的全部业务，并对照《电信业务经营许可管理办法》《电信业务分类目录》《互联网信息服务管理办法》《专网及定向传播视听节目服务管理规定》《互联网视听节目服务管理规定》《互联网新闻信息服务许可管理实施细则》《互联网文化管理暂行规定》《网络出版服务管理规定》《出版管理条例》《互联网新闻信息服务管理规定》《互联网新闻信息服务许可管理实施细则》《中华人民共和国网络安全法》《关于移动游戏出版服务管理的通知》《关于进一步加强网络剧、微电影等网络视听节目管理的通知》等法律法规的要求，核查是否应取得《增值电信业务经营许可证》《互联网信息服务增值电信业务经营许可证》《信息网络传播视听节目许可证》《网络文化经营许可证》《互联网出版服务许可证》《互联网新闻信息服务许可证》及《出版物经营许可证》及游戏版号等；结合发行人通过互联网开展业务的具体业务内容，核查是否相应取得《营业性演出许可证》《广播电视节目制作经营许可证》《出版物经营许可证》《互联网药品信息服务资格证书》《网络预约出租汽车经营许可证》《支付业务许可证》《中国民用航空运输销售代理业务资格认可证书》等资质证书。</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 核查未取得资质经营情形</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可通过查询网站、走访有关监管部门、与相关人员谈话等多渠道，调查和了解发行人是否存在未获得相关资质的情况下提供相关服务的情形，是否存在相关业务被关停、被处罚的风险及对发行人持续经营能力、业务稳定性和经营合规性的影响；通过取得相关监管部门的合法合规证明、走访相关监管部门等，进一步核查上述情况。</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2.4 经营资质持续性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保荐人应通过访谈发行人相关人员、查阅发行人书面记录资料或会计资料、发行人及相关人员出具书面声明等方法，调查和了解报告期内是否持续拥有各项资质，资质续期是否存在障碍。</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14" w:name="_Toc1660090797"/>
      <w:bookmarkStart w:id="215" w:name="_Toc75792105"/>
      <w:bookmarkStart w:id="216" w:name="_Toc75646006"/>
      <w:bookmarkStart w:id="217" w:name="_Toc76339965"/>
      <w:bookmarkStart w:id="218" w:name="_Toc75688183"/>
      <w:r>
        <w:rPr>
          <w:rFonts w:hint="eastAsia" w:ascii="仿宋_GB2312" w:hAnsi="宋体" w:eastAsia="仿宋_GB2312"/>
          <w:color w:val="000000" w:themeColor="text1"/>
          <w:sz w:val="32"/>
          <w14:textFill>
            <w14:solidFill>
              <w14:schemeClr w14:val="tx1"/>
            </w14:solidFill>
          </w14:textFill>
        </w:rPr>
        <w:t>第三章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信息系统调查</w:t>
      </w:r>
      <w:bookmarkEnd w:id="214"/>
      <w:bookmarkEnd w:id="215"/>
      <w:bookmarkEnd w:id="216"/>
      <w:bookmarkEnd w:id="217"/>
      <w:bookmarkEnd w:id="218"/>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3.1 信息系统的关键控制环节</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发行人</w:t>
      </w:r>
      <w:r>
        <w:rPr>
          <w:rFonts w:hint="eastAsia" w:ascii="仿宋_GB2312" w:hAnsi="宋体" w:eastAsia="仿宋_GB2312"/>
          <w:color w:val="000000" w:themeColor="text1"/>
          <w:sz w:val="32"/>
          <w:szCs w:val="32"/>
          <w14:textFill>
            <w14:solidFill>
              <w14:schemeClr w14:val="tx1"/>
            </w14:solidFill>
          </w14:textFill>
        </w:rPr>
        <w:t>信息系统的建设至少应该包括以下关键控制环节：</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1、信息系统的访问安全管理（如各层级数据浏览或修改权限）、系统变更管理、运行与维护管理、数据中心及网络管理等及信息系统的自动控制及接口测试等内部控制环节；</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2、经营数据与财务数据对接过程中数据及数据来源、数据生成的相关内部控制；</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3、信息系统在防止虚假流量、刷单、反舞弊等方面的系统控制；</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4、信息系统对防止数据泄露和保障网络安全等方面的内部控制管理措施。</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3.2 </w:t>
      </w:r>
      <w:r>
        <w:rPr>
          <w:rFonts w:hint="eastAsia" w:ascii="仿宋_GB2312" w:hAnsi="宋体" w:eastAsia="仿宋_GB2312"/>
          <w:color w:val="000000" w:themeColor="text1"/>
          <w:sz w:val="32"/>
          <w:szCs w:val="32"/>
          <w14:textFill>
            <w14:solidFill>
              <w14:schemeClr w14:val="tx1"/>
            </w14:solidFill>
          </w14:textFill>
        </w:rPr>
        <w:t>信息系统内部控制管理体系</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保荐人通过了解发行人系统开发、测试、上线、变更、运维、安全、备份、逻辑访问等情况，评估发行人信息系统内部控制的管理体系，对相关内部控制是否可以实现信息系统运行的可靠性进行分析判断。</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保荐人通过对发行人业务人员、</w:t>
      </w:r>
      <w:r>
        <w:rPr>
          <w:rFonts w:ascii="仿宋_GB2312" w:hAnsi="宋体" w:eastAsia="仿宋_GB2312"/>
          <w:color w:val="000000" w:themeColor="text1"/>
          <w:sz w:val="32"/>
          <w:szCs w:val="32"/>
          <w14:textFill>
            <w14:solidFill>
              <w14:schemeClr w14:val="tx1"/>
            </w14:solidFill>
          </w14:textFill>
        </w:rPr>
        <w:t>IT人员、财务人员及IT审计机构相关人员进行访谈，了解发行人支撑互联网业务运营和数据处理的主要信息系统，梳理经营数据在各个系统的流转过程。</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对于各个流程的控制情况，保荐人可执行但不限于以下核查程序：获取发行人组织架构图；查阅</w:t>
      </w:r>
      <w:r>
        <w:rPr>
          <w:rFonts w:ascii="仿宋_GB2312" w:hAnsi="宋体" w:eastAsia="仿宋_GB2312"/>
          <w:color w:val="000000" w:themeColor="text1"/>
          <w:sz w:val="32"/>
          <w:szCs w:val="32"/>
          <w14:textFill>
            <w14:solidFill>
              <w14:schemeClr w14:val="tx1"/>
            </w14:solidFill>
          </w14:textFill>
        </w:rPr>
        <w:t>IT</w:t>
      </w:r>
      <w:r>
        <w:rPr>
          <w:rFonts w:hint="eastAsia" w:ascii="仿宋_GB2312" w:hAnsi="宋体" w:eastAsia="仿宋_GB2312"/>
          <w:color w:val="000000" w:themeColor="text1"/>
          <w:sz w:val="32"/>
          <w:szCs w:val="32"/>
          <w14:textFill>
            <w14:solidFill>
              <w14:schemeClr w14:val="tx1"/>
            </w14:solidFill>
          </w14:textFill>
        </w:rPr>
        <w:t>管理制度；了解信息系统建设规划、信息系统外包服务商的选择与评估方式、信息安全风险评估及安全检查情况；了解信息系统立项申请及审批流程、项目测试及验收流程、报告期内信息系统的历次更新、升级等程序变更情况，并对程序变更的操作日志进行抽查；实地察看机房（如有），关注对信息系统物理安全的防范措施与设备情况，同时了解各系统用户角色与权限及超级用户的情况；抽查超级用户操作日志记录，关注是否存在未经授权的异常操作行为等。</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保荐人通过文档审阅及系统查询等方法，了解发行人</w:t>
      </w:r>
      <w:r>
        <w:rPr>
          <w:rFonts w:ascii="仿宋_GB2312" w:hAnsi="宋体" w:eastAsia="仿宋_GB2312"/>
          <w:color w:val="000000" w:themeColor="text1"/>
          <w:sz w:val="32"/>
          <w:szCs w:val="32"/>
          <w14:textFill>
            <w14:solidFill>
              <w14:schemeClr w14:val="tx1"/>
            </w14:solidFill>
          </w14:textFill>
        </w:rPr>
        <w:t>IT治理与管理、系统开发、程序变更、计算机运行和程序与数据访问等流程的控制情况，评估发行人信息系统管理水平及主要信息系统对业务运行的支撑能力和存在的风险，确定信息系统的稳定性和可靠性。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3.3 IT审计</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对符合本附件</w:t>
      </w:r>
      <w:r>
        <w:rPr>
          <w:rFonts w:ascii="仿宋_GB2312" w:hAnsi="宋体" w:eastAsia="仿宋_GB2312"/>
          <w:color w:val="000000" w:themeColor="text1"/>
          <w:sz w:val="32"/>
          <w:szCs w:val="32"/>
          <w14:textFill>
            <w14:solidFill>
              <w14:schemeClr w14:val="tx1"/>
            </w14:solidFill>
          </w14:textFill>
        </w:rPr>
        <w:t>2第1.3规定的发行人，应聘请IT审计机构对其信息系统进行专项核查并发表专项核查意见。IT审计机构应有适当的IT学科背景的专业人员参与。保荐人应</w:t>
      </w:r>
      <w:r>
        <w:rPr>
          <w:rFonts w:hint="eastAsia" w:ascii="仿宋_GB2312" w:hAnsi="宋体" w:eastAsia="仿宋_GB2312"/>
          <w:color w:val="000000" w:themeColor="text1"/>
          <w:sz w:val="32"/>
          <w:szCs w:val="32"/>
          <w14:textFill>
            <w14:solidFill>
              <w14:schemeClr w14:val="tx1"/>
            </w14:solidFill>
          </w14:textFill>
        </w:rPr>
        <w:t>取得</w:t>
      </w:r>
      <w:r>
        <w:rPr>
          <w:rFonts w:ascii="仿宋_GB2312" w:hAnsi="宋体" w:eastAsia="仿宋_GB2312"/>
          <w:color w:val="000000" w:themeColor="text1"/>
          <w:sz w:val="32"/>
          <w:szCs w:val="32"/>
          <w14:textFill>
            <w14:solidFill>
              <w14:schemeClr w14:val="tx1"/>
            </w14:solidFill>
          </w14:textFill>
        </w:rPr>
        <w:t>IT审计机构对其信息系统进行专项核查并出具的专项核查意见或报告，可以合理信赖IT审计机构出具的专项核查意见。</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3.4 </w:t>
      </w:r>
      <w:r>
        <w:rPr>
          <w:rFonts w:hint="eastAsia" w:ascii="仿宋_GB2312" w:hAnsi="宋体" w:eastAsia="仿宋_GB2312"/>
          <w:color w:val="000000" w:themeColor="text1"/>
          <w:sz w:val="32"/>
          <w:szCs w:val="32"/>
          <w14:textFill>
            <w14:solidFill>
              <w14:schemeClr w14:val="tx1"/>
            </w14:solidFill>
          </w14:textFill>
        </w:rPr>
        <w:t>应用控制测试</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保荐人基于对发行人业务运营模式的理解，从对其业务运营、财务报告有较大影响的业务和管理流程出发，会同</w:t>
      </w:r>
      <w:r>
        <w:rPr>
          <w:rFonts w:ascii="仿宋_GB2312" w:hAnsi="宋体" w:eastAsia="仿宋_GB2312"/>
          <w:color w:val="000000" w:themeColor="text1"/>
          <w:sz w:val="32"/>
          <w:szCs w:val="32"/>
          <w14:textFill>
            <w14:solidFill>
              <w14:schemeClr w14:val="tx1"/>
            </w14:solidFill>
          </w14:textFill>
        </w:rPr>
        <w:t>IT审计机构，通过穿行相关业务及管理流程，对其中支撑流程各个环节的信息系统功能进行穿行测试和分析，梳理主营业务在系统中各环节的数据流转过程，并结合系统功能和管控特点，设计相应的应用控制测试点，核查发行人经营数据的真实性、准确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3.5 信息系统控制缺陷</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针对发行人信息系统曾经或现存的控制缺陷，保荐人通过评估其影响程度，关注是否构成对发行人信息系统总体控制有效性及财务报表的真实性、准确性的不利影响，同时关注发行人整改、完善措施及其实施情况。</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3.6 业务流程中的风险点</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梳理发行人通过互联网开展的业务流程，识别各个环节中可能存在的风险点，针对性地设计分析指标和分析维度，关注经营数据真实性、准确性、合理性及与财务数据的匹配性。对在数据分析过程中发现的疑似异常情况执行进一步的分析和测试，关注差异形成原因是否合理，是否存在舞弊造假行为。</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若发行人基于第三方互联网平台开展业务的，通过抽查方式，将发行人信息系统存储的数据与第三方平台直接获取的数据进行交叉核对，确保数据真实、准确，未经篡改。</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3.7 合理信赖IT审计</w:t>
      </w:r>
    </w:p>
    <w:p>
      <w:pPr>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保荐人合理信赖审计机构出具的IT审计报告，应符合本示范实践“1</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核查验证与合理信赖”和“1</w:t>
      </w: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关于选聘第三方”的相关要求。</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19" w:name="_Toc75792106"/>
      <w:bookmarkStart w:id="220" w:name="_Toc75688184"/>
      <w:bookmarkStart w:id="221" w:name="_Toc76339966"/>
      <w:bookmarkStart w:id="222" w:name="_Toc75646007"/>
      <w:bookmarkStart w:id="223" w:name="_Toc1767799262"/>
      <w:r>
        <w:rPr>
          <w:rFonts w:hint="eastAsia" w:ascii="仿宋_GB2312" w:hAnsi="宋体" w:eastAsia="仿宋_GB2312"/>
          <w:color w:val="000000" w:themeColor="text1"/>
          <w:sz w:val="32"/>
          <w14:textFill>
            <w14:solidFill>
              <w14:schemeClr w14:val="tx1"/>
            </w14:solidFill>
          </w14:textFill>
        </w:rPr>
        <w:t>第四章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经营数据与财务数据匹配性调查</w:t>
      </w:r>
      <w:bookmarkEnd w:id="219"/>
      <w:bookmarkEnd w:id="220"/>
      <w:bookmarkEnd w:id="221"/>
      <w:bookmarkEnd w:id="222"/>
      <w:bookmarkEnd w:id="223"/>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4.1 </w:t>
      </w:r>
      <w:r>
        <w:rPr>
          <w:rFonts w:hint="eastAsia" w:ascii="仿宋_GB2312" w:hAnsi="宋体" w:eastAsia="仿宋_GB2312"/>
          <w:color w:val="000000" w:themeColor="text1"/>
          <w:sz w:val="32"/>
          <w:szCs w:val="32"/>
          <w14:textFill>
            <w14:solidFill>
              <w14:schemeClr w14:val="tx1"/>
            </w14:solidFill>
          </w14:textFill>
        </w:rPr>
        <w:t>经营数据与财务数据的一致性</w:t>
      </w:r>
    </w:p>
    <w:p>
      <w:pPr>
        <w:ind w:firstLine="640" w:firstLineChars="200"/>
        <w:jc w:val="both"/>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在核查信息系统的基础上，关注经营数据的真实性以及经营数据与财务数据的匹配性。保荐人通过独立查阅发行人各类业务信息系统等可靠方式从发行人获取经营数据，并结合发行人采购、出库、物流、退换货发生额、返利及促销数据、支付及结算凭据等评估业务与财务数据匹配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如发行人通过第三方平台销售，保荐人可通过现场访谈和函证第三方平台、分析性复核平台交易数据与支付平台使用费等方式验证收入真实性。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通过结合发行人业务模式，深入分析用户数量及变动情况、访问时长、充值和消费情况、消费频率、复购率、地域分布等关键指标，对指标异常情况进行进一步核查，以判断发行人的经营数据和财务数据是否真实、准确、完整。</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存在销售返利的，保荐人可以核查发行人报告期内返利金额与销售量、销售价格、销售收入、为品牌方提供的营销服务等是否与品牌方的合同约定相匹配，是否存在超过品牌方授权范围的营销，以及是否存在合同约定之外的销售返利行为。存在促销政策的（包括但不限于返点、折扣、积分、赠送、优惠券等），保荐人通过获取发行人报告期内的促销明细，核查促销政策的具体内容、计算方法、结算方式、会计处理方法、享受促销政策的客户类型和结构，以及促销政策的商业合理性，促销政策是否发生重大变动。</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4.2 销售收入</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鼓励保荐人以风险导向为原则，针对发行人主要风险点执行实质性程序，包括但不限于经营数据、财务数据一致性核查、收入数据真实性核查、用户行为核查、综合数据分析等，并可以结合实地走访或电话访谈平台方、物流公司或终端客户等方式，进一步验证经营数据的真实性。保荐人可以区分以下互联网业务开展方式，有针对性地制定并执行核查计划：</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（一）主要经营活动直接通过互联网开展，并以直接向用户收取费用为主，如互联网线上销售、互联网信息服务、互联网游戏等企业；</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（二）主要经营活动直接通过互联网开展，但</w:t>
      </w:r>
      <w:r>
        <w:rPr>
          <w:rFonts w:ascii="仿宋_GB2312" w:hAnsi="宋体" w:eastAsia="仿宋_GB2312"/>
          <w:color w:val="000000" w:themeColor="text1"/>
          <w:sz w:val="32"/>
          <w:szCs w:val="32"/>
          <w14:textFill>
            <w14:solidFill>
              <w14:schemeClr w14:val="tx1"/>
            </w14:solidFill>
          </w14:textFill>
        </w:rPr>
        <w:t>用户消费占整体收入比较低</w:t>
      </w:r>
      <w:r>
        <w:rPr>
          <w:rFonts w:hint="eastAsia" w:ascii="仿宋_GB2312" w:hAnsi="宋体" w:eastAsia="仿宋_GB2312"/>
          <w:color w:val="000000" w:themeColor="text1"/>
          <w:sz w:val="32"/>
          <w:szCs w:val="32"/>
          <w14:textFill>
            <w14:solidFill>
              <w14:schemeClr w14:val="tx1"/>
            </w14:solidFill>
          </w14:textFill>
        </w:rPr>
        <w:t>，主要通过展示和用户点击转化收入，如用户点击广告后向广告主或广告代理商收取费用等企业。</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4.3 </w:t>
      </w:r>
      <w:r>
        <w:rPr>
          <w:rFonts w:hint="eastAsia" w:ascii="仿宋_GB2312" w:hAnsi="宋体" w:eastAsia="仿宋_GB2312"/>
          <w:color w:val="000000" w:themeColor="text1"/>
          <w:sz w:val="32"/>
          <w:szCs w:val="32"/>
          <w14:textFill>
            <w14:solidFill>
              <w14:schemeClr w14:val="tx1"/>
            </w14:solidFill>
          </w14:textFill>
        </w:rPr>
        <w:t>直接收取费用形成收入</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对于直接向用户收取费用的发行人，保荐人可关注并核查以下事项：</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w:t>
      </w:r>
      <w:r>
        <w:rPr>
          <w:rFonts w:ascii="仿宋_GB2312" w:hAnsi="宋体" w:eastAsia="仿宋_GB2312"/>
          <w:color w:val="000000" w:themeColor="text1"/>
          <w:sz w:val="32"/>
          <w:szCs w:val="32"/>
          <w14:textFill>
            <w14:solidFill>
              <w14:schemeClr w14:val="tx1"/>
            </w14:solidFill>
          </w14:textFill>
        </w:rPr>
        <w:t>经营数据</w:t>
      </w:r>
      <w:r>
        <w:rPr>
          <w:rFonts w:hint="eastAsia" w:ascii="仿宋_GB2312" w:hAnsi="宋体" w:eastAsia="仿宋_GB2312"/>
          <w:color w:val="000000" w:themeColor="text1"/>
          <w:sz w:val="32"/>
          <w:szCs w:val="32"/>
          <w14:textFill>
            <w14:solidFill>
              <w14:schemeClr w14:val="tx1"/>
            </w14:solidFill>
          </w14:textFill>
        </w:rPr>
        <w:t>的完整性和准确性，是否存在被篡改的风险，与财务数据是否一致；</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（二）用户真实性与变动合理性核查，包括新增用户的地域分布与数量、留存用户的数量、活跃用户数量、月活用户数量、单次访问时长与访问时间段等，系统数据与第三方平台数据是否一致；</w:t>
      </w:r>
    </w:p>
    <w:p>
      <w:pPr>
        <w:ind w:firstLine="640" w:firstLineChars="200"/>
        <w:jc w:val="both"/>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（三）用户行为核查，包括但不限于登录</w:t>
      </w:r>
      <w:r>
        <w:rPr>
          <w:rFonts w:ascii="仿宋_GB2312" w:hAnsi="宋体" w:eastAsia="仿宋_GB2312"/>
          <w:color w:val="000000" w:themeColor="text1"/>
          <w:sz w:val="32"/>
          <w:szCs w:val="32"/>
          <w14:textFill>
            <w14:solidFill>
              <w14:schemeClr w14:val="tx1"/>
            </w14:solidFill>
          </w14:textFill>
        </w:rPr>
        <w:t>IP或MAC地址信息、充值与消费的情况、重点产品消费或销售情况、僵尸用户情况等，充值与消费的时间分布是否合理，重点用户充值或消费是否合理；</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（四）系统收款或交易金额与第三方支付渠道交易金额是否一致；</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（五）平均用户收入、平均付费用户收入等数值的变动趋势是否合理；</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（六）业务系统记录与计算虚拟钱包（如有）的充值、消费数据是否准确；</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（七）互联网数据中心或带宽费用的核查，与访问量是否匹配；</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（八）获客成本、获客渠道是否合理，成本变动是否存在异常。</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4.4 展示或用户点击转化为收入</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对于用户消费占整体收入比较低，主要通过展示或用户点击转化收入的发行人，保荐人可以关注并核查以下事项：</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w:t>
      </w:r>
      <w:r>
        <w:rPr>
          <w:rFonts w:ascii="仿宋_GB2312" w:hAnsi="宋体" w:eastAsia="仿宋_GB2312"/>
          <w:color w:val="000000" w:themeColor="text1"/>
          <w:sz w:val="32"/>
          <w:szCs w:val="32"/>
          <w14:textFill>
            <w14:solidFill>
              <w14:schemeClr w14:val="tx1"/>
            </w14:solidFill>
          </w14:textFill>
        </w:rPr>
        <w:t>经营数据</w:t>
      </w:r>
      <w:r>
        <w:rPr>
          <w:rFonts w:hint="eastAsia" w:ascii="仿宋_GB2312" w:hAnsi="宋体" w:eastAsia="仿宋_GB2312"/>
          <w:color w:val="000000" w:themeColor="text1"/>
          <w:sz w:val="32"/>
          <w:szCs w:val="32"/>
          <w14:textFill>
            <w14:solidFill>
              <w14:schemeClr w14:val="tx1"/>
            </w14:solidFill>
          </w14:textFill>
        </w:rPr>
        <w:t>的完整性和准确性，是否存在被篡改的风险，与财务数据是否一致；</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（二）不同平台用户占比是否符合商业逻辑与产品定位；</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（三）推广投入效果情况核查，获客成本是否合理；</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（四）用户行为真实性核查，应用软件的下载或激活的用户数量、新增和活跃用户的行业特征（包括登录时间、频率等）分析判断用户是否真实，是否存在购买虚假用户流量或虚构流量情况；</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（五）广告投放的真实性核查，是否存在与广告商串通进行虚假交易；</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（六）用户的广告浏览行为是否存在明显异常。</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4.5 系统漏洞</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保荐人可以关注发行人是否存在如下系统漏洞或舞弊情况：</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（一）后台伪造数据。关注发行人是否存在蓄意伪造、变造、删除或篡改系统数据或系统日志的舞弊行为；</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（二）模拟刷单行为。关注发行人是否存在通过机器人等方式伪造用户，进行用户登录或购买订单，形成虚假用户数据和交易数据；</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（三）客户异常大额购买或充值、异常重复购买或充值的情形是否存在合理解释，是否存在发行人及关联方“刷单”及“自充值”情形。</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4.6 不同业务模式下的不同核查方式</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保荐人可以根据业务模式等具体情况采取包括但不限于以下核查方式：</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（一）针对第三方平台的核查。通过对第三方平台进行实地走访、函证或其他替代方式，了解业务系统的运行维护、访问安全情况，验证经营数据的完整性和准确性；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（二）针对终端用户的核查。根据获取的经营数据，采取抽样方式对终端用户进行实地走访或电话访谈，核查用户消费的真实性；对于异常客户，可以进一步结合收款记录、付款方、付款时间等展开核查；</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针对业务流程的核查。业务流程应保持信息流、资金流、物流的一致性。保荐人可以通过交易订单与收款流水一致性核对、交易订单与物流信息一致性核对等方式核查业务流程的真实性；关注发行人实物的出入库痕迹、收货地址、物流单据等信息；</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（四）针对可比公司的比较。关注发行人关键业务指标与可比公司相比是否存在明显异常，异常情况是否存在合理的解释。</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4.7 </w:t>
      </w:r>
      <w:r>
        <w:rPr>
          <w:rFonts w:hint="eastAsia" w:ascii="仿宋_GB2312" w:hAnsi="宋体" w:eastAsia="仿宋_GB2312"/>
          <w:color w:val="000000" w:themeColor="text1"/>
          <w:sz w:val="32"/>
          <w:szCs w:val="32"/>
          <w14:textFill>
            <w14:solidFill>
              <w14:schemeClr w14:val="tx1"/>
            </w14:solidFill>
          </w14:textFill>
        </w:rPr>
        <w:t>核查受限</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如因核查范围受限、历史数据丢失、信息系统缺陷、涉及商业秘密等原因，导致无法获取全部或部分运营数据，无法进行充分核查的，保荐人需考虑该等情况是否存在异常，信息系统是否可靠，并综合评估该情况是否会对核查结论造成实质性不利影响。</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4.8 证券服务机构</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保荐人按照本示范实践“1</w:t>
      </w:r>
      <w:r>
        <w:rPr>
          <w:rFonts w:ascii="仿宋_GB2312" w:hAnsi="宋体" w:eastAsia="仿宋_GB2312"/>
          <w:color w:val="000000" w:themeColor="text1"/>
          <w:sz w:val="32"/>
          <w:szCs w:val="32"/>
          <w14:textFill>
            <w14:solidFill>
              <w14:schemeClr w14:val="tx1"/>
            </w14:solidFill>
          </w14:textFill>
        </w:rPr>
        <w:t>.5</w:t>
      </w:r>
      <w:r>
        <w:rPr>
          <w:rFonts w:hint="eastAsia" w:ascii="仿宋_GB2312" w:hAnsi="宋体" w:eastAsia="仿宋_GB2312"/>
          <w:color w:val="000000" w:themeColor="text1"/>
          <w:sz w:val="32"/>
          <w:szCs w:val="32"/>
          <w14:textFill>
            <w14:solidFill>
              <w14:schemeClr w14:val="tx1"/>
            </w14:solidFill>
          </w14:textFill>
        </w:rPr>
        <w:t>核查验证与合理信赖”和“1</w:t>
      </w:r>
      <w:r>
        <w:rPr>
          <w:rFonts w:ascii="仿宋_GB2312" w:hAnsi="宋体" w:eastAsia="仿宋_GB2312"/>
          <w:color w:val="000000" w:themeColor="text1"/>
          <w:sz w:val="32"/>
          <w:szCs w:val="32"/>
          <w14:textFill>
            <w14:solidFill>
              <w14:schemeClr w14:val="tx1"/>
            </w14:solidFill>
          </w14:textFill>
        </w:rPr>
        <w:t>.6</w:t>
      </w:r>
      <w:r>
        <w:rPr>
          <w:rFonts w:hint="eastAsia" w:ascii="仿宋_GB2312" w:hAnsi="宋体" w:eastAsia="仿宋_GB2312"/>
          <w:color w:val="000000" w:themeColor="text1"/>
          <w:sz w:val="32"/>
          <w:szCs w:val="32"/>
          <w14:textFill>
            <w14:solidFill>
              <w14:schemeClr w14:val="tx1"/>
            </w14:solidFill>
          </w14:textFill>
        </w:rPr>
        <w:t>关于选聘第三方”的相关要求，履行相关评估和复核工作后，在合理信赖基础上，可以借鉴证券服务机构的核查资料和专业意见。</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24" w:name="_Toc76339967"/>
      <w:bookmarkStart w:id="225" w:name="_Toc75792107"/>
      <w:bookmarkStart w:id="226" w:name="_Toc75688185"/>
      <w:bookmarkStart w:id="227" w:name="_Toc75646008"/>
      <w:bookmarkStart w:id="228" w:name="_Toc940460894"/>
      <w:r>
        <w:rPr>
          <w:rFonts w:hint="eastAsia" w:ascii="仿宋_GB2312" w:hAnsi="宋体" w:eastAsia="仿宋_GB2312"/>
          <w:color w:val="000000" w:themeColor="text1"/>
          <w:sz w:val="32"/>
          <w14:textFill>
            <w14:solidFill>
              <w14:schemeClr w14:val="tx1"/>
            </w14:solidFill>
          </w14:textFill>
        </w:rPr>
        <w:t>第五章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其他</w:t>
      </w:r>
      <w:bookmarkEnd w:id="224"/>
      <w:bookmarkEnd w:id="225"/>
      <w:bookmarkEnd w:id="226"/>
      <w:bookmarkEnd w:id="227"/>
      <w:bookmarkEnd w:id="228"/>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5.1 研发费用</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针对</w:t>
      </w:r>
      <w:r>
        <w:rPr>
          <w:rFonts w:hint="eastAsia" w:ascii="仿宋_GB2312" w:hAnsi="宋体" w:eastAsia="仿宋_GB2312"/>
          <w:color w:val="000000" w:themeColor="text1"/>
          <w:sz w:val="32"/>
          <w:szCs w:val="32"/>
          <w14:textFill>
            <w14:solidFill>
              <w14:schemeClr w14:val="tx1"/>
            </w14:solidFill>
          </w14:textFill>
        </w:rPr>
        <w:t>发行人信息系统研发投入情况，保荐人通过调查和了解发行人报告期内相关研发人员的教育背景、年龄构成、主要研发经历、薪酬水平等情况；报告期各期研发人员的数量及占比情况，与同行业可比公司的情况是否存在较大差异；结合研发管理、研发人员数量、研发团队构成及核心研发人员背景、研发投入、研发设备、技术储备等，报告期研发费用中直接投入和委外研究开发费的具体构成情况，关注发行人现有研发体系是否具备对其信息系统持续更新迭代的能力。</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5.2 市场定位</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保荐人结合发行人的品牌知名度、市场占有率、议价能力等对其市场进行定位，从而有效的进行市场竞争分析、财务指标比对分析，开展适当的尽职调查等工作。</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5.3 </w:t>
      </w:r>
      <w:r>
        <w:rPr>
          <w:rFonts w:hint="eastAsia" w:ascii="仿宋_GB2312" w:hAnsi="宋体" w:eastAsia="仿宋_GB2312"/>
          <w:color w:val="000000" w:themeColor="text1"/>
          <w:sz w:val="32"/>
          <w:szCs w:val="32"/>
          <w14:textFill>
            <w14:solidFill>
              <w14:schemeClr w14:val="tx1"/>
            </w14:solidFill>
          </w14:textFill>
        </w:rPr>
        <w:t>发行人客户通过互联网销售</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对于主要经营活动并非直接通过互联网开展，但其客户主要通过互联网销售的发行人，如发行人该类业务营业收入占比或毛利占比超过</w:t>
      </w:r>
      <w:r>
        <w:rPr>
          <w:rFonts w:ascii="仿宋_GB2312" w:hAnsi="宋体" w:eastAsia="仿宋_GB2312"/>
          <w:color w:val="000000" w:themeColor="text1"/>
          <w:sz w:val="32"/>
          <w:szCs w:val="32"/>
          <w14:textFill>
            <w14:solidFill>
              <w14:schemeClr w14:val="tx1"/>
            </w14:solidFill>
          </w14:textFill>
        </w:rPr>
        <w:t>30%，保荐人应关注并核查以下事项：</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（一）该类客户向发行人传输交易信息、相关数据的方式、内容，并以可靠方式从发行人获取该等数据，核查该等数据与发行人销售、物流等数据是否存在差异；</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（二）互联网终端客户情况（如消费者数量、集中度、地域分布、消费频率、单次消费金额分布等）是否存在异常。</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（三）对无法取得客户相关交易数据的，保荐人应充分核查原因并谨慎评估该情况对发表核查意见的影响。</w:t>
      </w:r>
    </w:p>
    <w:p>
      <w:pPr>
        <w:widowControl/>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br w:type="page"/>
      </w:r>
    </w:p>
    <w:p>
      <w:pPr>
        <w:pStyle w:val="33"/>
        <w:spacing w:before="0" w:after="0" w:line="360" w:lineRule="auto"/>
        <w:jc w:val="left"/>
        <w:outlineLvl w:val="1"/>
        <w:rPr>
          <w:rFonts w:ascii="仿宋_GB2312" w:hAnsi="宋体" w:eastAsia="仿宋_GB2312"/>
          <w:color w:val="000000" w:themeColor="text1"/>
          <w:sz w:val="32"/>
          <w14:textFill>
            <w14:solidFill>
              <w14:schemeClr w14:val="tx1"/>
            </w14:solidFill>
          </w14:textFill>
        </w:rPr>
      </w:pPr>
      <w:bookmarkStart w:id="229" w:name="_Toc75688186"/>
      <w:bookmarkStart w:id="230" w:name="_Toc105940666"/>
      <w:bookmarkStart w:id="231" w:name="_Toc76472403"/>
      <w:bookmarkStart w:id="232" w:name="_Toc75792108"/>
      <w:r>
        <w:rPr>
          <w:rFonts w:hint="eastAsia" w:ascii="仿宋_GB2312" w:hAnsi="宋体" w:eastAsia="仿宋_GB2312"/>
          <w:color w:val="000000" w:themeColor="text1"/>
          <w:sz w:val="32"/>
          <w14:textFill>
            <w14:solidFill>
              <w14:schemeClr w14:val="tx1"/>
            </w14:solidFill>
          </w14:textFill>
        </w:rPr>
        <w:t>附件</w:t>
      </w:r>
      <w:r>
        <w:rPr>
          <w:rFonts w:ascii="仿宋_GB2312" w:hAnsi="宋体" w:eastAsia="仿宋_GB2312"/>
          <w:color w:val="000000" w:themeColor="text1"/>
          <w:sz w:val="32"/>
          <w14:textFill>
            <w14:solidFill>
              <w14:schemeClr w14:val="tx1"/>
            </w14:solidFill>
          </w14:textFill>
        </w:rPr>
        <w:t>3</w:t>
      </w:r>
      <w:bookmarkEnd w:id="229"/>
      <w:bookmarkEnd w:id="230"/>
      <w:bookmarkEnd w:id="231"/>
    </w:p>
    <w:p>
      <w:pPr>
        <w:pStyle w:val="33"/>
        <w:spacing w:before="0" w:after="0" w:line="360" w:lineRule="auto"/>
        <w:outlineLvl w:val="1"/>
        <w:rPr>
          <w:rFonts w:ascii="仿宋_GB2312" w:hAnsi="宋体" w:eastAsia="仿宋_GB2312"/>
          <w:color w:val="000000" w:themeColor="text1"/>
          <w:sz w:val="32"/>
          <w14:textFill>
            <w14:solidFill>
              <w14:schemeClr w14:val="tx1"/>
            </w14:solidFill>
          </w14:textFill>
        </w:rPr>
      </w:pPr>
      <w:bookmarkStart w:id="233" w:name="_Toc76472404"/>
      <w:bookmarkStart w:id="234" w:name="_Toc76471944"/>
      <w:bookmarkStart w:id="235" w:name="_Toc105940667"/>
      <w:r>
        <w:rPr>
          <w:rFonts w:hint="eastAsia" w:ascii="仿宋_GB2312" w:hAnsi="宋体" w:eastAsia="仿宋_GB2312"/>
          <w:color w:val="000000" w:themeColor="text1"/>
          <w:sz w:val="32"/>
          <w14:textFill>
            <w14:solidFill>
              <w14:schemeClr w14:val="tx1"/>
            </w14:solidFill>
          </w14:textFill>
        </w:rPr>
        <w:t>特定行业保荐人尽职调查工作指南第</w:t>
      </w:r>
      <w:r>
        <w:rPr>
          <w:rFonts w:ascii="仿宋_GB2312" w:hAnsi="宋体" w:eastAsia="仿宋_GB2312"/>
          <w:color w:val="000000" w:themeColor="text1"/>
          <w:sz w:val="32"/>
          <w14:textFill>
            <w14:solidFill>
              <w14:schemeClr w14:val="tx1"/>
            </w14:solidFill>
          </w14:textFill>
        </w:rPr>
        <w:t>3号</w:t>
      </w:r>
      <w:bookmarkEnd w:id="233"/>
      <w:bookmarkEnd w:id="234"/>
      <w:bookmarkEnd w:id="235"/>
    </w:p>
    <w:p>
      <w:pPr>
        <w:pStyle w:val="33"/>
        <w:spacing w:before="0" w:after="0" w:line="360" w:lineRule="auto"/>
        <w:outlineLvl w:val="1"/>
        <w:rPr>
          <w:rFonts w:ascii="仿宋_GB2312" w:hAnsi="微软雅黑" w:eastAsia="仿宋_GB2312"/>
          <w:color w:val="000000"/>
          <w:sz w:val="30"/>
          <w:szCs w:val="30"/>
        </w:rPr>
      </w:pPr>
      <w:bookmarkStart w:id="236" w:name="_Toc76472405"/>
      <w:bookmarkStart w:id="237" w:name="_Toc105940668"/>
      <w:bookmarkStart w:id="238" w:name="_Toc1027166591"/>
      <w:bookmarkStart w:id="239" w:name="_Toc76471945"/>
      <w:r>
        <w:rPr>
          <w:rFonts w:hint="eastAsia" w:ascii="仿宋_GB2312" w:hAnsi="宋体" w:eastAsia="仿宋_GB2312"/>
          <w:color w:val="000000" w:themeColor="text1"/>
          <w:sz w:val="32"/>
          <w14:textFill>
            <w14:solidFill>
              <w14:schemeClr w14:val="tx1"/>
            </w14:solidFill>
          </w14:textFill>
        </w:rPr>
        <w:t>——消费类企业</w:t>
      </w:r>
      <w:bookmarkEnd w:id="232"/>
      <w:bookmarkEnd w:id="236"/>
      <w:bookmarkEnd w:id="237"/>
      <w:bookmarkEnd w:id="238"/>
      <w:bookmarkEnd w:id="239"/>
    </w:p>
    <w:p>
      <w:pPr>
        <w:pStyle w:val="33"/>
        <w:spacing w:line="360" w:lineRule="auto"/>
        <w:outlineLvl w:val="9"/>
        <w:rPr>
          <w:rFonts w:ascii="仿宋_GB2312" w:hAnsi="宋体" w:eastAsia="仿宋_GB2312"/>
          <w:color w:val="000000"/>
          <w:sz w:val="32"/>
        </w:rPr>
      </w:pPr>
      <w:bookmarkStart w:id="240" w:name="_Toc75646009"/>
      <w:bookmarkStart w:id="241" w:name="_Toc76339969"/>
      <w:bookmarkStart w:id="242" w:name="_Toc75688188"/>
      <w:bookmarkStart w:id="243" w:name="_Toc1540629468"/>
      <w:bookmarkStart w:id="244" w:name="_Toc75792109"/>
      <w:r>
        <w:rPr>
          <w:rFonts w:hint="eastAsia" w:ascii="仿宋_GB2312" w:hAnsi="宋体" w:eastAsia="仿宋_GB2312"/>
          <w:color w:val="000000"/>
          <w:sz w:val="32"/>
        </w:rPr>
        <w:t>第一章</w:t>
      </w:r>
      <w:r>
        <w:rPr>
          <w:rFonts w:ascii="仿宋_GB2312" w:hAnsi="宋体" w:eastAsia="仿宋_GB2312"/>
          <w:color w:val="000000"/>
          <w:sz w:val="32"/>
        </w:rPr>
        <w:t xml:space="preserve"> </w:t>
      </w:r>
      <w:r>
        <w:rPr>
          <w:rFonts w:hint="eastAsia" w:ascii="仿宋_GB2312" w:hAnsi="宋体" w:eastAsia="仿宋_GB2312"/>
          <w:color w:val="000000"/>
          <w:sz w:val="32"/>
        </w:rPr>
        <w:t>引言</w:t>
      </w:r>
      <w:bookmarkEnd w:id="240"/>
      <w:bookmarkEnd w:id="241"/>
      <w:bookmarkEnd w:id="242"/>
      <w:bookmarkEnd w:id="243"/>
      <w:bookmarkEnd w:id="244"/>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1.1 本指南旨在根据消费类企业审核过程中重点关注问题并结合影响消费类企业合法合</w:t>
      </w:r>
      <w:r>
        <w:rPr>
          <w:rFonts w:hint="eastAsia" w:ascii="仿宋_GB2312" w:hAnsi="宋体" w:eastAsia="仿宋_GB2312"/>
          <w:color w:val="000000"/>
          <w:sz w:val="32"/>
          <w:szCs w:val="32"/>
        </w:rPr>
        <w:t>规及持续经营的主要因素，提示上述事项在保荐人尽职调查过程中通常需要关注的主要风险和问题，以及</w:t>
      </w:r>
      <w:r>
        <w:rPr>
          <w:rFonts w:hint="eastAsia" w:ascii="仿宋_GB2312" w:hAnsi="宋体" w:eastAsia="仿宋_GB2312"/>
          <w:color w:val="000000" w:themeColor="text1"/>
          <w:sz w:val="32"/>
          <w:szCs w:val="32"/>
          <w14:textFill>
            <w14:solidFill>
              <w14:schemeClr w14:val="tx1"/>
            </w14:solidFill>
          </w14:textFill>
        </w:rPr>
        <w:t>针对上述风险和问题所应采取的一般性核查方法。保荐人可针对企业的具体业务特点、风险判断及重要性原则，选择性采用、补充或完善。</w:t>
      </w:r>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1.2 </w:t>
      </w:r>
      <w:r>
        <w:rPr>
          <w:rFonts w:hint="eastAsia" w:ascii="仿宋_GB2312" w:hAnsi="宋体" w:eastAsia="仿宋_GB2312"/>
          <w:color w:val="000000"/>
          <w:sz w:val="32"/>
          <w:szCs w:val="32"/>
        </w:rPr>
        <w:t>消费类企业的主要特点是以品牌的形式建立与终端消费者的关系，拥有较为复杂多样的供应链体系及销售渠道网络。</w:t>
      </w:r>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1.3 </w:t>
      </w:r>
      <w:r>
        <w:rPr>
          <w:rFonts w:hint="eastAsia" w:ascii="仿宋_GB2312" w:hAnsi="宋体" w:eastAsia="仿宋_GB2312"/>
          <w:color w:val="000000"/>
          <w:sz w:val="32"/>
          <w:szCs w:val="32"/>
        </w:rPr>
        <w:t>本指南适用于拟首次公开发行</w:t>
      </w:r>
      <w:r>
        <w:rPr>
          <w:rFonts w:ascii="仿宋_GB2312" w:hAnsi="宋体" w:eastAsia="仿宋_GB2312"/>
          <w:color w:val="000000"/>
          <w:sz w:val="32"/>
          <w:szCs w:val="32"/>
        </w:rPr>
        <w:t>A股股票或存托凭证的消费类企业的尽职调查，其他企业如果主营业务中也包括消费类业务或消费类业务的特点的事项也可参照本指南有关内容开展相关工作。</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1.4 </w:t>
      </w:r>
      <w:r>
        <w:rPr>
          <w:rFonts w:hint="eastAsia" w:ascii="仿宋_GB2312" w:hAnsi="宋体" w:eastAsia="仿宋_GB2312"/>
          <w:color w:val="000000"/>
          <w:sz w:val="32"/>
          <w:szCs w:val="32"/>
        </w:rPr>
        <w:t>保荐人对消费类企业的尽职调查在适用本指南时，还应当同时遵守《保荐人尽职调查工作准则》中的各项规定。</w:t>
      </w:r>
    </w:p>
    <w:p>
      <w:pPr>
        <w:pStyle w:val="33"/>
        <w:spacing w:line="360" w:lineRule="auto"/>
        <w:outlineLvl w:val="9"/>
        <w:rPr>
          <w:rFonts w:ascii="仿宋_GB2312" w:hAnsi="宋体" w:eastAsia="仿宋_GB2312"/>
          <w:color w:val="000000"/>
          <w:sz w:val="32"/>
        </w:rPr>
      </w:pPr>
      <w:bookmarkStart w:id="245" w:name="_Toc75792110"/>
      <w:bookmarkStart w:id="246" w:name="_Toc75646010"/>
      <w:bookmarkStart w:id="247" w:name="_Toc1757051382"/>
      <w:bookmarkStart w:id="248" w:name="_Toc76339970"/>
      <w:bookmarkStart w:id="249" w:name="_Toc75688189"/>
      <w:r>
        <w:rPr>
          <w:rFonts w:hint="eastAsia" w:ascii="仿宋_GB2312" w:hAnsi="宋体" w:eastAsia="仿宋_GB2312"/>
          <w:color w:val="000000"/>
          <w:sz w:val="32"/>
        </w:rPr>
        <w:t>第二章</w:t>
      </w:r>
      <w:r>
        <w:rPr>
          <w:rFonts w:ascii="仿宋_GB2312" w:hAnsi="宋体" w:eastAsia="仿宋_GB2312"/>
          <w:color w:val="000000"/>
          <w:sz w:val="32"/>
        </w:rPr>
        <w:t xml:space="preserve">  </w:t>
      </w:r>
      <w:r>
        <w:rPr>
          <w:rFonts w:hint="eastAsia" w:ascii="仿宋_GB2312" w:hAnsi="宋体" w:eastAsia="仿宋_GB2312"/>
          <w:color w:val="000000"/>
          <w:sz w:val="32"/>
        </w:rPr>
        <w:t>销售情况及销售收入</w:t>
      </w:r>
      <w:bookmarkEnd w:id="245"/>
      <w:bookmarkEnd w:id="246"/>
      <w:bookmarkEnd w:id="247"/>
      <w:bookmarkEnd w:id="248"/>
      <w:bookmarkEnd w:id="249"/>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2.1 关于销售模式，收集相关行业资料，并与发行人董监高人员及行业专家进行访谈，了解发行人所属行业特有的经营模式，调查行业企业采用的主要销售模式。针对消费类企业涉及的线上及线下直销、经销、代销、加盟、电商入仓等经营模式，结合发行人的行业属性和企业规模等情况，了解发行人采用的具体销售模式</w:t>
      </w:r>
      <w:r>
        <w:rPr>
          <w:rFonts w:hint="eastAsia" w:ascii="仿宋_GB2312" w:hAnsi="宋体" w:eastAsia="仿宋_GB2312"/>
          <w:color w:val="000000"/>
          <w:sz w:val="32"/>
          <w:szCs w:val="32"/>
        </w:rPr>
        <w:t>及与同行业可比公司的差异情况</w:t>
      </w:r>
      <w:r>
        <w:rPr>
          <w:rFonts w:ascii="仿宋_GB2312" w:hAnsi="宋体" w:eastAsia="仿宋_GB2312"/>
          <w:color w:val="000000"/>
          <w:sz w:val="32"/>
          <w:szCs w:val="32"/>
        </w:rPr>
        <w:t>，</w:t>
      </w:r>
      <w:r>
        <w:rPr>
          <w:rFonts w:hint="eastAsia" w:ascii="仿宋_GB2312" w:hAnsi="宋体" w:eastAsia="仿宋_GB2312"/>
          <w:color w:val="000000"/>
          <w:sz w:val="32"/>
          <w:szCs w:val="32"/>
        </w:rPr>
        <w:t>调查各销售模式的管理制度是否健全</w:t>
      </w:r>
      <w:r>
        <w:rPr>
          <w:rFonts w:ascii="仿宋_GB2312" w:hAnsi="宋体" w:eastAsia="仿宋_GB2312"/>
          <w:color w:val="000000"/>
          <w:sz w:val="32"/>
          <w:szCs w:val="32"/>
        </w:rPr>
        <w:t>，分析其采用该种模式的</w:t>
      </w:r>
      <w:r>
        <w:rPr>
          <w:rFonts w:hint="eastAsia" w:ascii="仿宋_GB2312" w:hAnsi="宋体" w:eastAsia="仿宋_GB2312"/>
          <w:color w:val="000000"/>
          <w:sz w:val="32"/>
          <w:szCs w:val="32"/>
        </w:rPr>
        <w:t>商业逻辑合理性</w:t>
      </w:r>
      <w:r>
        <w:rPr>
          <w:rFonts w:ascii="仿宋_GB2312" w:hAnsi="宋体" w:eastAsia="仿宋_GB2312"/>
          <w:color w:val="000000"/>
          <w:sz w:val="32"/>
          <w:szCs w:val="32"/>
        </w:rPr>
        <w:t>和可能引致的风险，</w:t>
      </w:r>
      <w:r>
        <w:rPr>
          <w:rFonts w:hint="eastAsia" w:ascii="仿宋_GB2312" w:hAnsi="宋体" w:eastAsia="仿宋_GB2312"/>
          <w:color w:val="000000"/>
          <w:sz w:val="32"/>
          <w:szCs w:val="32"/>
        </w:rPr>
        <w:t>分析</w:t>
      </w:r>
      <w:r>
        <w:rPr>
          <w:rFonts w:ascii="仿宋_GB2312" w:hAnsi="宋体" w:eastAsia="仿宋_GB2312"/>
          <w:color w:val="000000"/>
          <w:sz w:val="32"/>
          <w:szCs w:val="32"/>
        </w:rPr>
        <w:t>发行人对销售模式披露的准确、完整性，</w:t>
      </w:r>
      <w:r>
        <w:rPr>
          <w:rFonts w:hint="eastAsia" w:ascii="仿宋_GB2312" w:hAnsi="宋体" w:eastAsia="仿宋_GB2312"/>
          <w:color w:val="000000"/>
          <w:sz w:val="32"/>
          <w:szCs w:val="32"/>
        </w:rPr>
        <w:t>以及</w:t>
      </w:r>
      <w:r>
        <w:rPr>
          <w:rFonts w:ascii="仿宋_GB2312" w:hAnsi="宋体" w:eastAsia="仿宋_GB2312"/>
          <w:color w:val="000000"/>
          <w:sz w:val="32"/>
          <w:szCs w:val="32"/>
        </w:rPr>
        <w:t>发行人对相关销售模式划分依据及合理性。关注相关销售模式收入确认是否符合企业会计准则的规定。了解发行人销售模式变动的原因及主要风险，以及对发行人持续盈利能力的影响。</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2.2 关于线上直营模式，通过取得发行人涉及的各平台的名称、收入金额、交易频次、平均单次交易金额、客户数量、人均消费金额等明细，分析发行人是否</w:t>
      </w:r>
      <w:r>
        <w:rPr>
          <w:rFonts w:hint="eastAsia" w:ascii="仿宋_GB2312" w:hAnsi="宋体" w:eastAsia="仿宋_GB2312"/>
          <w:color w:val="000000"/>
          <w:sz w:val="32"/>
          <w:szCs w:val="32"/>
        </w:rPr>
        <w:t>存在刷单情形，发行人的运营数据与同行业可比公司比较是否合理，是否存在单个账户大额采购的情形，单个账户大额采购的原因及合理性；</w:t>
      </w:r>
      <w:r>
        <w:rPr>
          <w:rFonts w:ascii="仿宋_GB2312" w:hAnsi="宋体" w:eastAsia="仿宋_GB2312"/>
          <w:color w:val="000000"/>
          <w:sz w:val="32"/>
          <w:szCs w:val="32"/>
        </w:rPr>
        <w:t>关注发行人运费与销售</w:t>
      </w:r>
      <w:r>
        <w:rPr>
          <w:rFonts w:hint="eastAsia" w:ascii="仿宋_GB2312" w:hAnsi="宋体" w:eastAsia="仿宋_GB2312"/>
          <w:color w:val="000000"/>
          <w:sz w:val="32"/>
          <w:szCs w:val="32"/>
        </w:rPr>
        <w:t>额或</w:t>
      </w:r>
      <w:r>
        <w:rPr>
          <w:rFonts w:ascii="仿宋_GB2312" w:hAnsi="宋体" w:eastAsia="仿宋_GB2312"/>
          <w:color w:val="000000"/>
          <w:sz w:val="32"/>
          <w:szCs w:val="32"/>
        </w:rPr>
        <w:t>销售量的匹配性，关注发行人单件运费、单位重量运费的变化情况的合理性</w:t>
      </w:r>
      <w:r>
        <w:rPr>
          <w:rFonts w:hint="eastAsia" w:ascii="仿宋_GB2312" w:hAnsi="宋体" w:eastAsia="仿宋_GB2312"/>
          <w:color w:val="000000"/>
          <w:sz w:val="32"/>
          <w:szCs w:val="32"/>
        </w:rPr>
        <w:t>。对部分规范性不足的线上平台，无法完整获取前述数据信息的，需论述发行人通过该平台开展业务的必要性，访谈平台方以确认其无法完整提供前述数据信息的原因和合理性，并通过发行人可以掌握的物流收件方信息、开票信息等数据信息进行替代分析。</w:t>
      </w:r>
    </w:p>
    <w:p>
      <w:pPr>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对于主要通过线上模式开展业务的发行人，应核查发行人报告期应用的信息系统情况，包括系统名称、开发人、基本架构、主要功能、应用方式、各层级数据浏览或修改权限等，分析经营数据的完整性、准确性及是否存在被篡改风险，并与财务数据进行比对，核查发行人信息系统可靠性；对线上销售业务环节进行控制测试、抽样测试、电话回访及获得</w:t>
      </w:r>
      <w:r>
        <w:rPr>
          <w:rFonts w:ascii="仿宋_GB2312" w:hAnsi="宋体" w:eastAsia="仿宋_GB2312"/>
          <w:color w:val="000000"/>
          <w:sz w:val="32"/>
          <w:szCs w:val="32"/>
        </w:rPr>
        <w:t>IT审计报告等方式对发行人线上直销收入真实性进行核查。应尽量获取客户交易数据并核查是否与发行人数据匹配。基于信息系统对日常业务运营的重要性，鼓励对线</w:t>
      </w:r>
      <w:r>
        <w:rPr>
          <w:rFonts w:hint="eastAsia" w:ascii="仿宋_GB2312" w:hAnsi="宋体" w:eastAsia="仿宋_GB2312"/>
          <w:color w:val="000000"/>
          <w:sz w:val="32"/>
          <w:szCs w:val="32"/>
        </w:rPr>
        <w:t>上模式收入占比小于</w:t>
      </w:r>
      <w:r>
        <w:rPr>
          <w:rFonts w:ascii="仿宋_GB2312" w:hAnsi="宋体" w:eastAsia="仿宋_GB2312"/>
          <w:color w:val="000000"/>
          <w:sz w:val="32"/>
          <w:szCs w:val="32"/>
        </w:rPr>
        <w:t>30%的发行人，同样执行信息系统可靠性专项核查。</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2.3 </w:t>
      </w:r>
      <w:r>
        <w:rPr>
          <w:rFonts w:hint="eastAsia" w:ascii="仿宋_GB2312" w:hAnsi="宋体" w:eastAsia="仿宋_GB2312"/>
          <w:color w:val="000000"/>
          <w:sz w:val="32"/>
          <w:szCs w:val="32"/>
        </w:rPr>
        <w:t>关于线下直营模式，取得线下直营店增加和减少的数量、各直营店的经营年限及对应的销售额及销售量、营业面积、租金水平、租赁期限、装修费用、员工人数等基本信息，分析上述指标是否符合行业惯例和经营特点。对于关闭门店的情况，分析相关门店基本情况、关店的原因，了解发行人线下直营店扩展计划、经营网点关闭情况，是否存在因管理不善、各直营店未遵守公司内部管理制度等因素而导致对发行人品牌和日常经营产生重大不利影响的情况。</w:t>
      </w:r>
    </w:p>
    <w:p>
      <w:pPr>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关注线下直营店的消费频次、次均消费金额、</w:t>
      </w:r>
      <w:r>
        <w:rPr>
          <w:rFonts w:ascii="仿宋_GB2312" w:hAnsi="宋体" w:eastAsia="仿宋_GB2312"/>
          <w:color w:val="000000"/>
          <w:sz w:val="32"/>
          <w:szCs w:val="32"/>
        </w:rPr>
        <w:t>单店销售额、单店销量、</w:t>
      </w:r>
      <w:r>
        <w:rPr>
          <w:rFonts w:hint="eastAsia" w:ascii="仿宋_GB2312" w:hAnsi="宋体" w:eastAsia="仿宋_GB2312"/>
          <w:color w:val="000000"/>
          <w:sz w:val="32"/>
          <w:szCs w:val="32"/>
          <w:lang w:eastAsia="zh-CN"/>
        </w:rPr>
        <w:t>坪</w:t>
      </w:r>
      <w:r>
        <w:rPr>
          <w:rFonts w:ascii="仿宋_GB2312" w:hAnsi="宋体" w:eastAsia="仿宋_GB2312"/>
          <w:color w:val="000000"/>
          <w:sz w:val="32"/>
          <w:szCs w:val="32"/>
        </w:rPr>
        <w:t>效</w:t>
      </w:r>
      <w:r>
        <w:rPr>
          <w:rFonts w:hint="eastAsia" w:ascii="仿宋_GB2312" w:hAnsi="宋体" w:eastAsia="仿宋_GB2312"/>
          <w:color w:val="000000"/>
          <w:sz w:val="32"/>
          <w:szCs w:val="32"/>
        </w:rPr>
        <w:t>等主要运营指标变化情况的合理性，是否存在异常情形。核查店铺现金收款情况、是否已配备现代化收银信息系统并建立相关管理制度、相关系统运行情况等。对于线下直营模式已建立信息系统的发行人，适当参考</w:t>
      </w:r>
      <w:r>
        <w:rPr>
          <w:rFonts w:ascii="仿宋_GB2312" w:hAnsi="宋体" w:eastAsia="仿宋_GB2312"/>
          <w:color w:val="000000"/>
          <w:sz w:val="32"/>
          <w:szCs w:val="32"/>
        </w:rPr>
        <w:t>线上</w:t>
      </w:r>
      <w:r>
        <w:rPr>
          <w:rFonts w:hint="eastAsia" w:ascii="仿宋_GB2312" w:hAnsi="宋体" w:eastAsia="仿宋_GB2312"/>
          <w:color w:val="000000"/>
          <w:sz w:val="32"/>
          <w:szCs w:val="32"/>
        </w:rPr>
        <w:t>模式的核查方法</w:t>
      </w:r>
      <w:r>
        <w:rPr>
          <w:rFonts w:ascii="仿宋_GB2312" w:hAnsi="宋体" w:eastAsia="仿宋_GB2312"/>
          <w:color w:val="000000"/>
          <w:sz w:val="32"/>
          <w:szCs w:val="32"/>
        </w:rPr>
        <w:t>对</w:t>
      </w:r>
      <w:r>
        <w:rPr>
          <w:rFonts w:hint="eastAsia" w:ascii="仿宋_GB2312" w:hAnsi="宋体" w:eastAsia="仿宋_GB2312"/>
          <w:color w:val="000000"/>
          <w:sz w:val="32"/>
          <w:szCs w:val="32"/>
        </w:rPr>
        <w:t>其</w:t>
      </w:r>
      <w:r>
        <w:rPr>
          <w:rFonts w:ascii="仿宋_GB2312" w:hAnsi="宋体" w:eastAsia="仿宋_GB2312"/>
          <w:color w:val="000000"/>
          <w:sz w:val="32"/>
          <w:szCs w:val="32"/>
        </w:rPr>
        <w:t>信息系统进行核查。</w:t>
      </w:r>
    </w:p>
    <w:p>
      <w:pPr>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通过访谈发行人管理层、查阅销售原始凭证、</w:t>
      </w:r>
      <w:r>
        <w:rPr>
          <w:rFonts w:ascii="仿宋_GB2312" w:hAnsi="宋体" w:eastAsia="仿宋_GB2312"/>
          <w:color w:val="000000"/>
          <w:sz w:val="32"/>
          <w:szCs w:val="32"/>
        </w:rPr>
        <w:t>实地查看线下直营店经营情况、客流量及现金收款情况</w:t>
      </w:r>
      <w:r>
        <w:rPr>
          <w:rFonts w:hint="eastAsia" w:ascii="仿宋_GB2312" w:hAnsi="宋体" w:eastAsia="仿宋_GB2312"/>
          <w:color w:val="000000"/>
          <w:sz w:val="32"/>
          <w:szCs w:val="32"/>
        </w:rPr>
        <w:t>等方式，分析是否与财务数据存在明显差异。</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2.4 关于经销（加盟）模式，分析经销商（含加盟商）进入、退出及存续情况，与发行人持续存在业务往来的经销商数量及销售收入情况，大额经销商退出的主要原因，经销商与发行人是否存在关联关系，经销商是否为行业专业的经销商，其是否</w:t>
      </w:r>
      <w:r>
        <w:rPr>
          <w:rFonts w:hint="eastAsia" w:ascii="仿宋_GB2312" w:hAnsi="宋体" w:eastAsia="仿宋_GB2312"/>
          <w:color w:val="000000"/>
          <w:sz w:val="32"/>
          <w:szCs w:val="32"/>
        </w:rPr>
        <w:t>专门</w:t>
      </w:r>
      <w:r>
        <w:rPr>
          <w:rFonts w:ascii="仿宋_GB2312" w:hAnsi="宋体" w:eastAsia="仿宋_GB2312"/>
          <w:color w:val="000000"/>
          <w:sz w:val="32"/>
          <w:szCs w:val="32"/>
        </w:rPr>
        <w:t>销售发行人</w:t>
      </w:r>
      <w:r>
        <w:rPr>
          <w:rFonts w:hint="eastAsia" w:ascii="仿宋_GB2312" w:hAnsi="宋体" w:eastAsia="仿宋_GB2312"/>
          <w:color w:val="000000"/>
          <w:sz w:val="32"/>
          <w:szCs w:val="32"/>
        </w:rPr>
        <w:t>产品</w:t>
      </w:r>
      <w:r>
        <w:rPr>
          <w:rFonts w:ascii="仿宋_GB2312" w:hAnsi="宋体" w:eastAsia="仿宋_GB2312"/>
          <w:color w:val="000000"/>
          <w:sz w:val="32"/>
          <w:szCs w:val="32"/>
        </w:rPr>
        <w:t>，经销商具体业务模式及采取经销商模式的必要性，对经销商选取标准及日常管理情况，核查经销商整体变动及稳定性情况；分析经销/加盟终端门店的新开、关闭及转让情况，是否存在区域</w:t>
      </w:r>
      <w:r>
        <w:rPr>
          <w:rFonts w:hint="eastAsia" w:ascii="仿宋_GB2312" w:hAnsi="宋体" w:eastAsia="仿宋_GB2312"/>
          <w:color w:val="000000"/>
          <w:sz w:val="32"/>
          <w:szCs w:val="32"/>
        </w:rPr>
        <w:t>或门店所属加盟商频繁变动的情况，分析直营门店与加盟门店是否存在相互转换的情况及其主要原因与合理性。</w:t>
      </w:r>
    </w:p>
    <w:p>
      <w:pPr>
        <w:ind w:firstLine="640" w:firstLineChars="200"/>
        <w:jc w:val="both"/>
        <w:rPr>
          <w:rFonts w:ascii="仿宋_GB2312" w:hAnsi="宋体" w:eastAsia="仿宋_GB2312"/>
          <w:color w:val="000000"/>
          <w:sz w:val="32"/>
          <w:szCs w:val="32"/>
        </w:rPr>
      </w:pPr>
      <w:r>
        <w:rPr>
          <w:rFonts w:hint="eastAsia" w:ascii="仿宋_GB2312" w:hAnsi="宋体" w:eastAsia="仿宋_GB2312"/>
          <w:color w:val="000000"/>
          <w:sz w:val="32"/>
          <w:szCs w:val="32"/>
        </w:rPr>
        <w:t>关于发行人经销模式相关财务指标：通过分析发行人通过经销商模式实现的销售比例和毛利是否显著大于同行业可比公司，经销模式毛利率和其他销售模式是否存在较大差异，对经销商的信用政策是否显著宽松于其他销售模式，对经销商的销售收入分布情况、地区分布情况、平均销售收入，是否存在销售金额变动较大的情况，发行人对经销商销售指标的设置政策，返利政策的设置原则，前十大经销商客户</w:t>
      </w:r>
      <w:r>
        <w:rPr>
          <w:rFonts w:hint="eastAsia" w:ascii="仿宋_GB2312" w:hAnsi="宋体" w:eastAsia="仿宋_GB2312"/>
          <w:color w:val="000000" w:themeColor="text1"/>
          <w:sz w:val="32"/>
          <w:szCs w:val="32"/>
          <w14:textFill>
            <w14:solidFill>
              <w14:schemeClr w14:val="tx1"/>
            </w14:solidFill>
          </w14:textFill>
        </w:rPr>
        <w:t>或根据发行人具体情况确定的主要经销商客户</w:t>
      </w:r>
      <w:r>
        <w:rPr>
          <w:rFonts w:hint="eastAsia" w:ascii="仿宋_GB2312" w:hAnsi="宋体" w:eastAsia="仿宋_GB2312"/>
          <w:color w:val="000000"/>
          <w:sz w:val="32"/>
          <w:szCs w:val="32"/>
        </w:rPr>
        <w:t>销售金额变动较大的原因及合理性，经销商返利金额与销售额的匹配性，经销商是否存在期末突击采购的情况，发行人经销主要合同条款，如回款方式、市场价格体系、乱价及窜货处罚、品牌授权、运费归属、退换货条款（包括终端用户退换货责任归属）、是否缴纳保证金等以及退换货、罚款会计处理是否符合企业会计准则相关要求，核查发行人经销模式销售收入真实准确完整性。</w:t>
      </w:r>
    </w:p>
    <w:p>
      <w:pPr>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关于经销商终端销售的实现情况：了解发行人是否存在信息管理或业务管理系统可以查看经销商存货、销售情况，是否存在退换货条款及报告期实际退换货情况。通过发询证函、走访代表性客户、进行电话访谈、抽样查看经销商对外销售原始凭证、察看经销商库存等方式了解经销商终端销售情况，对其进行穿透核查。针对经销商下游销售网络较为复杂、终端客户较为分散的情况，可通过聘请第三方中介机构进行终端访谈等工作，确认经销商向下游客户销售是否真实发生，经销商向下游客户销售规模是否与对发行人采购规模匹配等。对于销售数量庞大、单件货值较低、难以辨认终端客户的商品，终端核查执行到能够通过有效手段追溯到的末端（如经销商出货后下游渠道无法追溯的，以经销商销售出货环节作为核查终端）。通过核查合同内容、对客户进行访谈、分析退换货政策及历史退换货数据（例如是否约定非质量问题不能退换货且报告期内退换货比例极低）、信用政策（例如是否先款后货或账期非常短）等方式，从实质上区分经销商和贸易类客户。对于不构成经销模式的贸易类客户，以贸易类客户销售出货环节作为核查终端。</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2.5 </w:t>
      </w:r>
      <w:r>
        <w:rPr>
          <w:rFonts w:hint="eastAsia" w:ascii="仿宋_GB2312" w:hAnsi="宋体" w:eastAsia="仿宋_GB2312"/>
          <w:color w:val="000000"/>
          <w:sz w:val="32"/>
          <w:szCs w:val="32"/>
        </w:rPr>
        <w:t>关于未开票收入情况，通过访谈、取得报告期内发行人的增值税纳税申报表、增值税纳税申报表以及税务系统的开票明细等资料，并与发行人的账面收入进行核对，核查是否存在未开票销售的情况。取得报告期内未开票收入的明细，并分析其客户特征及消费习惯，除终端消费客户、个人客户等因消费场景和交易习惯等合理原因而未开具发票外，是否存在其他无合理原因而未开票的异常交易客户；分析发行人未开票收入的金额及比例情况是否符合行业惯例，与同行业可比公司相比是否存在显著差异；抽查发行人及重要子公司的纳税申报表，将未开票收入明细与增值税纳税申报表、纳税申报表进行核对，核查是否将该部分收入作为无票收入进行申报；针对未开票的客户，选取样本进行控制测试，核查合同、订单、出库单、运输单、收款单据等主要凭证，核查发行人针对无票收入客户的内部控制是否有效执行；通过走访主管税务机关、取得报告期内纳税情况合规证明等方式，核查发行人是否存在税务重大违法违规行为；分析主要客户各期开票金额与销售收入的匹配情况，在考虑跨期开票差异情况后，分析主要客户是否存在开票金额与实际销售金额不匹配的情况。</w:t>
      </w:r>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2.6 </w:t>
      </w:r>
      <w:r>
        <w:rPr>
          <w:rFonts w:hint="eastAsia" w:ascii="仿宋_GB2312" w:hAnsi="宋体" w:eastAsia="仿宋_GB2312"/>
          <w:color w:val="000000"/>
          <w:sz w:val="32"/>
          <w:szCs w:val="32"/>
        </w:rPr>
        <w:t>关于返利及折扣，取得报告期内发行人的返利计提政策及商业折扣政策，取得报告期内发行人计提的返利金额明细及商业折扣政策，复核其金额计算是否与相关政策相符；将报告期各期发行人返利计提金额及其占相应收入的比例进行计算，并分析返利金额占比是否存在异常变化且无合理原因的情形，返利计提金额及其占相应收入的比例与同行业可比公司相比是否存在显著异常且无合理原因；核查发行人返利的会计处理方式，是否与同行业可比公司存在显著差异，是否符合企业会计准则的规定；应重点关注公司前十大客户</w:t>
      </w:r>
      <w:r>
        <w:rPr>
          <w:rFonts w:hint="eastAsia" w:ascii="仿宋_GB2312" w:hAnsi="宋体" w:eastAsia="仿宋_GB2312"/>
          <w:color w:val="000000" w:themeColor="text1"/>
          <w:sz w:val="32"/>
          <w:szCs w:val="32"/>
          <w14:textFill>
            <w14:solidFill>
              <w14:schemeClr w14:val="tx1"/>
            </w14:solidFill>
          </w14:textFill>
        </w:rPr>
        <w:t>或根据发行人具体情况确定的主要客户</w:t>
      </w:r>
      <w:r>
        <w:rPr>
          <w:rFonts w:hint="eastAsia" w:ascii="仿宋_GB2312" w:hAnsi="宋体" w:eastAsia="仿宋_GB2312"/>
          <w:color w:val="000000"/>
          <w:sz w:val="32"/>
          <w:szCs w:val="32"/>
        </w:rPr>
        <w:t>中返利及商业折扣金额与公司既定政策存在显著差异的客户，核查该客户与发行人是否存在潜在关联关系、是否存在利益输送等情形。</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2.7 </w:t>
      </w:r>
      <w:r>
        <w:rPr>
          <w:rFonts w:hint="eastAsia" w:ascii="仿宋_GB2312" w:hAnsi="宋体" w:eastAsia="仿宋_GB2312"/>
          <w:color w:val="000000"/>
          <w:sz w:val="32"/>
          <w:szCs w:val="32"/>
        </w:rPr>
        <w:t>关于现金销售，通过访谈、查看发行人报告期内现金日记账，核查发行人是否存在现金销售的情形；针对报告期内的发行人现金销售明细，通过访谈等方式了解通过现金进行交易的原因，并分析其合理性，是否符合行业经营特点或经营模式（如线下商业零售、向农户采购、日常零散产品销售或采购支出等）；分析报告期内现金交易比例及其变动情况是否整体处于合理范围内，近三年一期一般不超过同行业平均水平或与类似公司不存在重大差异（如能获取可比数据）；存在现金交易的客户是否为发行人的关联方；对存在现金交易的客户进行控制测试，核查其合同、订单、出库单、运输单、现金收款单、发票、现金存款单等单据，核查发行人对现金交易内部控制的有效性及现金交易的可验证性，应重点关注收取的现金是否在账面明确、完整记录并及时入账、是否及时存入银行、是否存在坐支现金等情形；在选取走访、函证、抽样测试等实质性程序的样本时，应重点选取存在现金交易的客户，适当增加现金交易客户的样本数量，验证交易的真实性。</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2.8 </w:t>
      </w:r>
      <w:r>
        <w:rPr>
          <w:rFonts w:hint="eastAsia" w:ascii="仿宋_GB2312" w:hAnsi="宋体" w:eastAsia="仿宋_GB2312"/>
          <w:color w:val="000000"/>
          <w:sz w:val="32"/>
          <w:szCs w:val="32"/>
        </w:rPr>
        <w:t>关于经销商（加盟商）广告宣传，通过访谈、网络核查等方式核查发行人的经销商（加盟商）是否存在使用发行人商号的情形，双方是否签订相关的授权协议（特许经营协议）并在协议中明确双方的权利和义务；关注使用发行人商号或商标的经销商（加盟商）是否存在重大违法违规行为，是否对发行人的品牌形象及商誉存在重大损坏，是否影响发行人日常经常业务的正常开展；抽查发行人与前十大经销商（加盟商）</w:t>
      </w:r>
      <w:r>
        <w:rPr>
          <w:rFonts w:hint="eastAsia" w:ascii="仿宋_GB2312" w:hAnsi="宋体" w:eastAsia="仿宋_GB2312"/>
          <w:color w:val="000000" w:themeColor="text1"/>
          <w:sz w:val="32"/>
          <w:szCs w:val="32"/>
          <w14:textFill>
            <w14:solidFill>
              <w14:schemeClr w14:val="tx1"/>
            </w14:solidFill>
          </w14:textFill>
        </w:rPr>
        <w:t>或根据发行人具体情况确定的主要经销商（加盟商）</w:t>
      </w:r>
      <w:r>
        <w:rPr>
          <w:rFonts w:hint="eastAsia" w:ascii="仿宋_GB2312" w:hAnsi="宋体" w:eastAsia="仿宋_GB2312"/>
          <w:color w:val="000000"/>
          <w:sz w:val="32"/>
          <w:szCs w:val="32"/>
        </w:rPr>
        <w:t>签订的相关协议，了解双方就授权区域内的品牌营销费用推广的责任和费用承担的约定，相关费用金额是否在账面完整和准确记录，经销商（加盟商）使用发行人商号或商标开展的营销活动、制作的广告宣传制品是否超过双方协议的相关规定，是否符合广告法规的相关规定。</w:t>
      </w:r>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2.9 </w:t>
      </w:r>
      <w:r>
        <w:rPr>
          <w:rFonts w:hint="eastAsia" w:ascii="仿宋_GB2312" w:hAnsi="宋体" w:eastAsia="仿宋_GB2312"/>
          <w:color w:val="000000"/>
          <w:sz w:val="32"/>
          <w:szCs w:val="32"/>
        </w:rPr>
        <w:t>关注经销商（加盟商）是否为发行人前（现）员工开立的，取得报告期内各期公司的员工名册，以及报告期各期发行人主要客户原则上建议覆盖各期前十大客户</w:t>
      </w:r>
      <w:r>
        <w:rPr>
          <w:rFonts w:hint="eastAsia" w:ascii="仿宋_GB2312" w:hAnsi="宋体" w:eastAsia="仿宋_GB2312"/>
          <w:color w:val="000000" w:themeColor="text1"/>
          <w:sz w:val="32"/>
          <w:szCs w:val="32"/>
          <w14:textFill>
            <w14:solidFill>
              <w14:schemeClr w14:val="tx1"/>
            </w14:solidFill>
          </w14:textFill>
        </w:rPr>
        <w:t>或根据发行人具体情况确定的主要客户</w:t>
      </w:r>
      <w:r>
        <w:rPr>
          <w:rFonts w:hint="eastAsia" w:ascii="仿宋_GB2312" w:hAnsi="宋体" w:eastAsia="仿宋_GB2312"/>
          <w:color w:val="000000"/>
          <w:sz w:val="32"/>
          <w:szCs w:val="32"/>
        </w:rPr>
        <w:t>及采取科学的抽样方法抽取的其他客户）及其股东、董监高名单，并将两者进行比对，核查是否存在公司前员工或现员工成为发行人客户的情况；针对报告期内的前（现）员工客户，分析发行人对其销售金额变化、销售公允性及信用政策情况，是否存在销售金额快速增长而无合理原因、销售毛利率及单价与其他客户存在重大差异、信用政策与其他客户存在显著不同等异常情形；对金额较大的前（现）员工客户进行实地走访，了解其离职及成为发行人客户的原因、背景，其自身经营情况、对外销售规模、库存情况，是否实质上受发行人控制，是否与发行人存在潜在关联关系，发行人对该客户销售的产品是否能够实现最终销售。</w:t>
      </w:r>
    </w:p>
    <w:p>
      <w:pPr>
        <w:pStyle w:val="33"/>
        <w:spacing w:line="360" w:lineRule="auto"/>
        <w:outlineLvl w:val="9"/>
        <w:rPr>
          <w:rFonts w:ascii="仿宋_GB2312" w:hAnsi="宋体" w:eastAsia="仿宋_GB2312"/>
          <w:color w:val="000000"/>
          <w:sz w:val="32"/>
        </w:rPr>
      </w:pPr>
      <w:bookmarkStart w:id="250" w:name="_Toc75646011"/>
      <w:bookmarkStart w:id="251" w:name="_Toc76339971"/>
      <w:bookmarkStart w:id="252" w:name="_Toc75792111"/>
      <w:bookmarkStart w:id="253" w:name="_Toc413698829"/>
      <w:bookmarkStart w:id="254" w:name="_Toc75688190"/>
      <w:r>
        <w:rPr>
          <w:rFonts w:hint="eastAsia" w:ascii="仿宋_GB2312" w:hAnsi="宋体" w:eastAsia="仿宋_GB2312"/>
          <w:color w:val="000000"/>
          <w:sz w:val="32"/>
        </w:rPr>
        <w:t>第三章</w:t>
      </w:r>
      <w:r>
        <w:rPr>
          <w:rFonts w:ascii="仿宋_GB2312" w:hAnsi="宋体" w:eastAsia="仿宋_GB2312"/>
          <w:color w:val="000000"/>
          <w:sz w:val="32"/>
        </w:rPr>
        <w:t xml:space="preserve">  </w:t>
      </w:r>
      <w:r>
        <w:rPr>
          <w:rFonts w:hint="eastAsia" w:ascii="仿宋_GB2312" w:hAnsi="宋体" w:eastAsia="仿宋_GB2312"/>
          <w:color w:val="000000"/>
          <w:sz w:val="32"/>
        </w:rPr>
        <w:t>采购情况</w:t>
      </w:r>
      <w:bookmarkEnd w:id="250"/>
      <w:bookmarkEnd w:id="251"/>
      <w:bookmarkEnd w:id="252"/>
      <w:bookmarkEnd w:id="253"/>
      <w:bookmarkEnd w:id="254"/>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3.1 </w:t>
      </w:r>
      <w:r>
        <w:rPr>
          <w:rFonts w:hint="eastAsia" w:ascii="仿宋_GB2312" w:hAnsi="宋体" w:eastAsia="仿宋_GB2312"/>
          <w:color w:val="000000"/>
          <w:sz w:val="32"/>
          <w:szCs w:val="32"/>
        </w:rPr>
        <w:t>对于涉及现金采购或向个人采购的，了解现金采购或向个人采购时成本核算的原则和依据，是否符合行业经营特点或经营模式，分析是否具有必要性和合理性；了解相关交易的供应商是否为发行人关联方，分析是否与实际控制人、董监高等主要关联方存在资金往来；了解现金采购或向个人采购对发行人内部控制有效性的影响，审计机构是否已对现金采购和向个人供应商采购的相关内部控制有效性发表明确核查意见；核查现金采购或向个人采购比例及其变动情况是否整体处于合理范围；了解发行人为减少现金采购和向个人供应商采购所采取的改进措施及进展情况。</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3.2 </w:t>
      </w:r>
      <w:r>
        <w:rPr>
          <w:rFonts w:hint="eastAsia" w:ascii="仿宋_GB2312" w:hAnsi="宋体" w:eastAsia="仿宋_GB2312"/>
          <w:color w:val="000000"/>
          <w:sz w:val="32"/>
          <w:szCs w:val="32"/>
        </w:rPr>
        <w:t>对于企业存在的涉农采购，通过访谈发行人相关人员以及涉农采购的主要供应商，了解发行人是否取得农户的自产自销证明文件和身份证明文件，核查发行人是否取得税务局代开的相关发票或开具农产品收购发票。</w:t>
      </w:r>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3.3 </w:t>
      </w:r>
      <w:r>
        <w:rPr>
          <w:rFonts w:hint="eastAsia" w:ascii="仿宋_GB2312" w:hAnsi="宋体" w:eastAsia="仿宋_GB2312"/>
          <w:color w:val="000000"/>
          <w:sz w:val="32"/>
          <w:szCs w:val="32"/>
        </w:rPr>
        <w:t>核查消费类企业是否存在客户指定相关供应商的情形，了解报告期内涉及客户的名称、项目名称、指定供应商、指定原材料种类、采购数量及价格等；分析指定供应商涉及的采购金额及占比、是否属于受托加工业务、是否涉及来料加工业务；了解涉及的采购、销售的会计处理情况，收入是总额法还是净额法确认，是否符合《企业会计准则》相关规定。核查供应商是否存在同为发行人客户的情况，获取相关采购、销售的具体金额、交易数量及单位价格，核查相关交易的具体背景及其合理性、公允性。</w:t>
      </w:r>
    </w:p>
    <w:p>
      <w:pPr>
        <w:pStyle w:val="33"/>
        <w:spacing w:line="360" w:lineRule="auto"/>
        <w:outlineLvl w:val="9"/>
        <w:rPr>
          <w:rFonts w:ascii="仿宋_GB2312" w:hAnsi="宋体" w:eastAsia="仿宋_GB2312"/>
          <w:color w:val="000000"/>
          <w:sz w:val="32"/>
        </w:rPr>
      </w:pPr>
      <w:bookmarkStart w:id="255" w:name="_Toc75646012"/>
      <w:bookmarkStart w:id="256" w:name="_Toc76339972"/>
      <w:bookmarkStart w:id="257" w:name="_Toc389706513"/>
      <w:bookmarkStart w:id="258" w:name="_Toc75688191"/>
      <w:bookmarkStart w:id="259" w:name="_Toc75792112"/>
      <w:r>
        <w:rPr>
          <w:rFonts w:hint="eastAsia" w:ascii="仿宋_GB2312" w:hAnsi="宋体" w:eastAsia="仿宋_GB2312"/>
          <w:color w:val="000000"/>
          <w:sz w:val="32"/>
        </w:rPr>
        <w:t>第四章</w:t>
      </w:r>
      <w:r>
        <w:rPr>
          <w:rFonts w:ascii="仿宋_GB2312" w:hAnsi="宋体" w:eastAsia="仿宋_GB2312"/>
          <w:color w:val="000000"/>
          <w:sz w:val="32"/>
        </w:rPr>
        <w:t xml:space="preserve">  </w:t>
      </w:r>
      <w:r>
        <w:rPr>
          <w:rFonts w:hint="eastAsia" w:ascii="仿宋_GB2312" w:hAnsi="宋体" w:eastAsia="仿宋_GB2312"/>
          <w:color w:val="000000"/>
          <w:sz w:val="32"/>
        </w:rPr>
        <w:t>生产情况</w:t>
      </w:r>
      <w:bookmarkEnd w:id="255"/>
      <w:bookmarkEnd w:id="256"/>
      <w:bookmarkEnd w:id="257"/>
      <w:bookmarkEnd w:id="258"/>
      <w:bookmarkEnd w:id="259"/>
    </w:p>
    <w:p>
      <w:pPr>
        <w:ind w:firstLine="640" w:firstLineChars="200"/>
        <w:jc w:val="both"/>
        <w:rPr>
          <w:rFonts w:ascii="仿宋_GB2312" w:hAnsi="宋体" w:eastAsia="仿宋_GB2312"/>
          <w:color w:val="000000"/>
          <w:sz w:val="32"/>
          <w:szCs w:val="32"/>
        </w:rPr>
      </w:pPr>
      <w:r>
        <w:rPr>
          <w:rFonts w:hint="eastAsia" w:ascii="仿宋_GB2312" w:hAnsi="宋体" w:eastAsia="仿宋_GB2312"/>
          <w:color w:val="000000"/>
          <w:sz w:val="32"/>
          <w:szCs w:val="32"/>
        </w:rPr>
        <w:t>对于存在外协生产的，了解发行人主要外协供应商基本情况，包括名称、设立时间、股权结构、董监高情况、主营业务、外协内容、发行人采购金额和大致占比；了解发行人向主要外协供应商采购占外协供应商销售金额比重，分析是否存在成立时间较短或业务主要依赖发行人的外协供应商（若存在此类外协供应商，重点核查其与发行人的关联关系情况）。调查外协加工的具体工序及采用外协加工的原因，分析外协模式是否符合行业惯例，以及是否涉及到关键工序或关键技术；调查主要委外加工商采购金额及占比、外协加工的定价依据及交易价格的公允性，外协厂商是否与公司存在关联关系，是否存在对外协厂商的严重依赖；结合外协加工产品数量、外协加工费单价以及公司产品工艺变化情况等分析报告期内外协加工费的变动原因及合理性；核查外协厂商的实际控制人及关联方是否为发行人前（现）员工的情况，核查相关厂商的具体合作背景及其合理性、公允性；调查外协供应商是否存在为发行人代垫成本、费用的情形，是否存在与发行人、实际控制人、关系密切的家庭成员的大额异常资金往来。</w:t>
      </w:r>
    </w:p>
    <w:p>
      <w:pPr>
        <w:pStyle w:val="33"/>
        <w:spacing w:line="360" w:lineRule="auto"/>
        <w:outlineLvl w:val="9"/>
        <w:rPr>
          <w:rFonts w:ascii="仿宋_GB2312" w:hAnsi="宋体" w:eastAsia="仿宋_GB2312"/>
          <w:color w:val="000000"/>
          <w:sz w:val="32"/>
        </w:rPr>
      </w:pPr>
      <w:bookmarkStart w:id="260" w:name="_Toc1787439024"/>
      <w:bookmarkStart w:id="261" w:name="_Toc76339973"/>
      <w:bookmarkStart w:id="262" w:name="_Toc75792113"/>
      <w:bookmarkStart w:id="263" w:name="_Toc75688192"/>
      <w:bookmarkStart w:id="264" w:name="_Toc75646013"/>
      <w:r>
        <w:rPr>
          <w:rFonts w:hint="eastAsia" w:ascii="仿宋_GB2312" w:hAnsi="宋体" w:eastAsia="仿宋_GB2312"/>
          <w:color w:val="000000"/>
          <w:sz w:val="32"/>
        </w:rPr>
        <w:t>第五章</w:t>
      </w:r>
      <w:r>
        <w:rPr>
          <w:rFonts w:ascii="仿宋_GB2312" w:hAnsi="宋体" w:eastAsia="仿宋_GB2312"/>
          <w:color w:val="000000"/>
          <w:sz w:val="32"/>
        </w:rPr>
        <w:t xml:space="preserve">  </w:t>
      </w:r>
      <w:r>
        <w:rPr>
          <w:rFonts w:hint="eastAsia" w:ascii="仿宋_GB2312" w:hAnsi="宋体" w:eastAsia="仿宋_GB2312"/>
          <w:color w:val="000000"/>
          <w:sz w:val="32"/>
        </w:rPr>
        <w:t>存货</w:t>
      </w:r>
      <w:bookmarkEnd w:id="260"/>
      <w:bookmarkEnd w:id="261"/>
      <w:bookmarkEnd w:id="262"/>
      <w:bookmarkEnd w:id="263"/>
      <w:bookmarkEnd w:id="264"/>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5.1 </w:t>
      </w:r>
      <w:r>
        <w:rPr>
          <w:rFonts w:hint="eastAsia" w:ascii="仿宋_GB2312" w:hAnsi="宋体" w:eastAsia="仿宋_GB2312"/>
          <w:color w:val="000000"/>
          <w:sz w:val="32"/>
          <w:szCs w:val="32"/>
        </w:rPr>
        <w:t>关于存货，取得报告期各期末的存货构成情况、库龄分布情况，计算存货周转率及存货占资产总额的比例情况，分析存货库龄结构的合理性，核查存货的期后结转情况，并与同行业可比公司进行比较是否存在显著差异；核查存货跌价准备的计提方法是否合理、提取数额是否充分，发出存货的成本计量方法是否合理，存货计价是否准确。</w:t>
      </w:r>
    </w:p>
    <w:p>
      <w:pPr>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针对产品存在明显时效性的企业（如品牌服饰、短保质期食品）的存货，对于与加盟商存在退换货约定的企业，通过抽样分析其退回商品的后续销售情况，核查是否存在大额滞销情形；应当了解该类企业过期、过季商品的处理，包括过期、过季商品处理的方式及不同方式的销售金额、价格策略、过季商品处理产生的收益</w:t>
      </w:r>
      <w:r>
        <w:rPr>
          <w:rFonts w:ascii="仿宋_GB2312" w:hAnsi="宋体" w:eastAsia="仿宋_GB2312"/>
          <w:color w:val="000000"/>
          <w:sz w:val="32"/>
          <w:szCs w:val="32"/>
        </w:rPr>
        <w:t>/损失。</w:t>
      </w:r>
    </w:p>
    <w:p>
      <w:pPr>
        <w:ind w:firstLine="640" w:firstLineChars="200"/>
        <w:jc w:val="both"/>
        <w:rPr>
          <w:rFonts w:ascii="仿宋_GB2312" w:hAnsi="宋体" w:eastAsia="仿宋_GB2312"/>
          <w:color w:val="000000"/>
          <w:sz w:val="32"/>
          <w:szCs w:val="32"/>
        </w:rPr>
      </w:pPr>
      <w:r>
        <w:rPr>
          <w:rFonts w:hint="eastAsia" w:ascii="仿宋_GB2312" w:hAnsi="宋体" w:eastAsia="仿宋_GB2312"/>
          <w:color w:val="000000"/>
          <w:sz w:val="32"/>
          <w:szCs w:val="32"/>
        </w:rPr>
        <w:t>发行人存在大额异地存放或由第三方保管或控制的存货的，可采取函证、实地检查等适当的方式进行确认或抽盘。发行人存货具有一定特殊性的，如其性质、价值、数量难以判断的，在确保外部专家胜任能力和独立性的基础上，可以合理采用外部专家意见，并对外部专家意见履行审慎关注和必要复核程序。</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5.2 因发行人与电商平台、大型商超等代销渠道进行交易而可能导致的存在大额发出商品的情形，应通过抽查发行人的送货单、与交易对手方的对账单、向发行人客户</w:t>
      </w:r>
      <w:r>
        <w:rPr>
          <w:rFonts w:hint="eastAsia" w:ascii="仿宋_GB2312" w:hAnsi="宋体" w:eastAsia="仿宋_GB2312"/>
          <w:color w:val="000000"/>
          <w:sz w:val="32"/>
          <w:szCs w:val="32"/>
        </w:rPr>
        <w:t>发出函证等方式确认期末发出商品金额的准确性。</w:t>
      </w:r>
    </w:p>
    <w:p>
      <w:pPr>
        <w:pStyle w:val="33"/>
        <w:spacing w:line="360" w:lineRule="auto"/>
        <w:outlineLvl w:val="9"/>
        <w:rPr>
          <w:rFonts w:ascii="仿宋_GB2312" w:hAnsi="宋体" w:eastAsia="仿宋_GB2312"/>
          <w:color w:val="000000"/>
          <w:sz w:val="32"/>
        </w:rPr>
      </w:pPr>
      <w:bookmarkStart w:id="265" w:name="_Toc75688193"/>
      <w:bookmarkStart w:id="266" w:name="_Toc75646014"/>
      <w:bookmarkStart w:id="267" w:name="_Toc76339974"/>
      <w:bookmarkStart w:id="268" w:name="_Toc338479549"/>
      <w:bookmarkStart w:id="269" w:name="_Toc75792114"/>
      <w:r>
        <w:rPr>
          <w:rFonts w:hint="eastAsia" w:ascii="仿宋_GB2312" w:hAnsi="宋体" w:eastAsia="仿宋_GB2312"/>
          <w:color w:val="000000"/>
          <w:sz w:val="32"/>
        </w:rPr>
        <w:t>第六章</w:t>
      </w:r>
      <w:r>
        <w:rPr>
          <w:rFonts w:ascii="仿宋_GB2312" w:hAnsi="宋体" w:eastAsia="仿宋_GB2312"/>
          <w:color w:val="000000"/>
          <w:sz w:val="32"/>
        </w:rPr>
        <w:t xml:space="preserve">  </w:t>
      </w:r>
      <w:r>
        <w:rPr>
          <w:rFonts w:hint="eastAsia" w:ascii="仿宋_GB2312" w:hAnsi="宋体" w:eastAsia="仿宋_GB2312"/>
          <w:color w:val="000000"/>
          <w:sz w:val="32"/>
        </w:rPr>
        <w:t>销售费用</w:t>
      </w:r>
      <w:bookmarkEnd w:id="265"/>
      <w:bookmarkEnd w:id="266"/>
      <w:bookmarkEnd w:id="267"/>
      <w:bookmarkEnd w:id="268"/>
      <w:bookmarkEnd w:id="269"/>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6.1 </w:t>
      </w:r>
      <w:r>
        <w:rPr>
          <w:rFonts w:hint="eastAsia" w:ascii="仿宋_GB2312" w:hAnsi="宋体" w:eastAsia="仿宋_GB2312"/>
          <w:color w:val="000000"/>
          <w:sz w:val="32"/>
          <w:szCs w:val="32"/>
        </w:rPr>
        <w:t>关于广告宣传费用，取得报告期内发行人的广告费用明细，结合发行人主要品牌推广模式及相关协议约定，通过核查发行人主要的广告、宣传投放情况及其对应的费用归集对报告期内广告宣传费用各期间分摊金额的准确性进行核查。</w:t>
      </w:r>
    </w:p>
    <w:p>
      <w:pPr>
        <w:ind w:firstLine="640" w:firstLineChars="200"/>
        <w:jc w:val="both"/>
        <w:rPr>
          <w:rFonts w:ascii="仿宋_GB2312" w:hAnsi="宋体" w:eastAsia="仿宋_GB2312"/>
          <w:color w:val="000000"/>
          <w:sz w:val="32"/>
          <w:szCs w:val="32"/>
        </w:rPr>
      </w:pPr>
      <w:r>
        <w:rPr>
          <w:rFonts w:ascii="仿宋_GB2312" w:hAnsi="宋体" w:eastAsia="仿宋_GB2312"/>
          <w:color w:val="000000"/>
          <w:sz w:val="32"/>
          <w:szCs w:val="32"/>
        </w:rPr>
        <w:t xml:space="preserve">6.2 </w:t>
      </w:r>
      <w:r>
        <w:rPr>
          <w:rFonts w:hint="eastAsia" w:ascii="仿宋_GB2312" w:hAnsi="宋体" w:eastAsia="仿宋_GB2312"/>
          <w:color w:val="000000"/>
          <w:sz w:val="32"/>
          <w:szCs w:val="32"/>
        </w:rPr>
        <w:t>关于电商费用，取得报告期内发行人在电商销售平台、互联网营销的相关服务协议，了解其计费规则及计费标准，根据销量、销售收入的数据进行计算复核账面记录电商费用金额是否与相关规则及标准计算出的金额相一致；对报告期各期发行人电商费用金额及其占网络销售收入的比例进行分析复核，是否存在比例发生异常变化而无合理原因的情形；对主要电商平台、互联网营销供应商、电商代运营服务供应商等进行走访和函证，验证相关费用是否真实准确。</w:t>
      </w:r>
    </w:p>
    <w:p>
      <w:pPr>
        <w:pStyle w:val="33"/>
        <w:spacing w:line="360" w:lineRule="auto"/>
        <w:outlineLvl w:val="9"/>
        <w:rPr>
          <w:rFonts w:ascii="仿宋_GB2312" w:hAnsi="宋体" w:eastAsia="仿宋_GB2312"/>
          <w:color w:val="000000"/>
          <w:sz w:val="32"/>
        </w:rPr>
      </w:pPr>
      <w:bookmarkStart w:id="270" w:name="_Toc75646015"/>
      <w:bookmarkStart w:id="271" w:name="_Toc75792115"/>
      <w:bookmarkStart w:id="272" w:name="_Toc75688194"/>
      <w:bookmarkStart w:id="273" w:name="_Toc2080567018"/>
      <w:bookmarkStart w:id="274" w:name="_Toc76339975"/>
      <w:r>
        <w:rPr>
          <w:rFonts w:hint="eastAsia" w:ascii="仿宋_GB2312" w:hAnsi="宋体" w:eastAsia="仿宋_GB2312"/>
          <w:color w:val="000000"/>
          <w:sz w:val="32"/>
        </w:rPr>
        <w:t>第七章</w:t>
      </w:r>
      <w:r>
        <w:rPr>
          <w:rFonts w:ascii="仿宋_GB2312" w:hAnsi="宋体" w:eastAsia="仿宋_GB2312"/>
          <w:color w:val="000000"/>
          <w:sz w:val="32"/>
        </w:rPr>
        <w:t xml:space="preserve">  </w:t>
      </w:r>
      <w:r>
        <w:rPr>
          <w:rFonts w:hint="eastAsia" w:ascii="仿宋_GB2312" w:hAnsi="宋体" w:eastAsia="仿宋_GB2312"/>
          <w:color w:val="000000"/>
          <w:sz w:val="32"/>
        </w:rPr>
        <w:t>劳务用工情况</w:t>
      </w:r>
      <w:bookmarkEnd w:id="270"/>
      <w:bookmarkEnd w:id="271"/>
      <w:bookmarkEnd w:id="272"/>
      <w:bookmarkEnd w:id="273"/>
      <w:bookmarkEnd w:id="274"/>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7.1 </w:t>
      </w:r>
      <w:r>
        <w:rPr>
          <w:rFonts w:hint="eastAsia" w:ascii="仿宋_GB2312" w:hAnsi="宋体" w:eastAsia="仿宋_GB2312"/>
          <w:color w:val="000000"/>
          <w:sz w:val="32"/>
          <w:szCs w:val="32"/>
        </w:rPr>
        <w:t>对于发行人涉及劳务外包情形的，取得劳务外包单位的营业执照、经营许可证等资料，核查是否具备专业资质，劳务公司经营和人员管理是否合法合规，是否为独立经营实体，发行人与其发生业务交易的背景及是否存在重大风险。核查劳务公司是否专门或主要为发行人服务，如存在，关注是否具有合理性及必要性、关联关系的认定及披露是否真实、准确、完整。应遵从实质重于形式的原则对是否存在关联方进行判定和核查。取得发行人与主要劳务外包单位签订的相关合同、向劳务外包单位的费用支付凭证等资料，核查劳务公司的构成、变动情况及其合理性、劳务外包合同的主要内容是否合法合规、劳务外包人员数量和费用变动是否与发行人经营业绩相匹配、定价是否公允、是否存在跨期核算等情形。对比同行业公司，发行人劳务外包模式是否与行业相符。</w:t>
      </w:r>
    </w:p>
    <w:p>
      <w:pPr>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鼓励基于劳务外包对发行人的重要性，对劳务外包公司按照合理的抽样原则进行访谈、函证等程序。</w:t>
      </w:r>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7.2 </w:t>
      </w:r>
      <w:r>
        <w:rPr>
          <w:rFonts w:hint="eastAsia" w:ascii="仿宋_GB2312" w:hAnsi="宋体" w:eastAsia="仿宋_GB2312"/>
          <w:color w:val="000000"/>
          <w:sz w:val="32"/>
          <w:szCs w:val="32"/>
        </w:rPr>
        <w:t>对于发行人涉及劳务派遣情形的，取得劳务派遣单位的营业执照、经营许可证等资料，核查其是否具备专业资质。通过访谈和现场实地考察等方式，了解生产经营方式及用工需求，核查发行人是否只在临时性、辅助性或者替代性的工作岗位上使用被派遣劳动者。取得员工花名册，核查发行人使用的被派遣劳动者数量是否超过用工总量的</w:t>
      </w:r>
      <w:r>
        <w:rPr>
          <w:rFonts w:ascii="仿宋_GB2312" w:hAnsi="宋体" w:eastAsia="仿宋_GB2312"/>
          <w:color w:val="000000"/>
          <w:sz w:val="32"/>
          <w:szCs w:val="32"/>
        </w:rPr>
        <w:t>10%。取得发行人与劳务派遣单位签订的相关合同、被派遣劳动者社保费用的缴纳凭证等资料，抽样访谈劳务派遣员工，核查被派遣劳动者社保费用是否缴纳、以及其他合同条款是否符合《劳务派遣暂行规定》的相关要求。</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75" w:name="_Toc75792116"/>
      <w:bookmarkStart w:id="276" w:name="_Toc76339976"/>
      <w:bookmarkStart w:id="277" w:name="_Toc75646016"/>
      <w:bookmarkStart w:id="278" w:name="_Toc75688195"/>
      <w:bookmarkStart w:id="279" w:name="_Toc731277614"/>
      <w:r>
        <w:rPr>
          <w:rFonts w:hint="eastAsia" w:ascii="仿宋_GB2312" w:hAnsi="宋体" w:eastAsia="仿宋_GB2312"/>
          <w:color w:val="000000" w:themeColor="text1"/>
          <w:sz w:val="32"/>
          <w14:textFill>
            <w14:solidFill>
              <w14:schemeClr w14:val="tx1"/>
            </w14:solidFill>
          </w14:textFill>
        </w:rPr>
        <w:t>第八章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商业信用情况</w:t>
      </w:r>
      <w:bookmarkEnd w:id="275"/>
      <w:bookmarkEnd w:id="276"/>
      <w:bookmarkEnd w:id="277"/>
      <w:bookmarkEnd w:id="278"/>
      <w:bookmarkEnd w:id="279"/>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8.1 </w:t>
      </w:r>
      <w:r>
        <w:rPr>
          <w:rFonts w:hint="eastAsia" w:ascii="仿宋_GB2312" w:hAnsi="宋体" w:eastAsia="仿宋_GB2312"/>
          <w:color w:val="000000"/>
          <w:sz w:val="32"/>
          <w:szCs w:val="32"/>
        </w:rPr>
        <w:t>对于消费类企业，通过登录相关主管部门网站、相关搜索网站及特定信息查询网站，了解发行人报告期内是否存在产品质量问题或食品安全事故，是否存在媒体重大负面报道、消费者关注投诉等问题，是否存在因产品质量问题引发的纠纷或诉讼，相关产品质量问题是否损害消费者健康、是否对发行人的生产经营产生重大不利影响。</w:t>
      </w:r>
    </w:p>
    <w:p>
      <w:pPr>
        <w:ind w:firstLine="640" w:firstLineChars="200"/>
        <w:jc w:val="left"/>
        <w:rPr>
          <w:rFonts w:ascii="仿宋_GB2312" w:hAnsi="宋体" w:eastAsia="仿宋_GB2312"/>
          <w:color w:val="000000"/>
          <w:sz w:val="32"/>
          <w:szCs w:val="32"/>
        </w:rPr>
      </w:pPr>
      <w:bookmarkStart w:id="280" w:name="_Hlk68825696"/>
      <w:r>
        <w:rPr>
          <w:rFonts w:ascii="仿宋_GB2312" w:hAnsi="宋体" w:eastAsia="仿宋_GB2312"/>
          <w:color w:val="000000"/>
          <w:sz w:val="32"/>
          <w:szCs w:val="32"/>
        </w:rPr>
        <w:t xml:space="preserve">8.2 </w:t>
      </w:r>
      <w:r>
        <w:rPr>
          <w:rFonts w:hint="eastAsia" w:ascii="仿宋_GB2312" w:hAnsi="宋体" w:eastAsia="仿宋_GB2312"/>
          <w:color w:val="000000"/>
          <w:sz w:val="32"/>
          <w:szCs w:val="32"/>
        </w:rPr>
        <w:t>对于涉及直营或加盟门店的消费类企业，保荐人应通过访谈发行人管理层，取得门店管理相关制度，查阅加盟店相关合同，并走访主要门店，与相关店员谈话，以了解其经营情况，了解报告期内门店数量和销售金额的变化情况及其稳定性，了解到对直营店或加盟店的管控情况，关注其是否存在重大违法、违规或不诚信行为，评价其商业信用，了解报告期内门店数量和销售金额的变化情况及其稳定性。</w:t>
      </w:r>
      <w:bookmarkEnd w:id="280"/>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81" w:name="_Toc75792117"/>
      <w:bookmarkStart w:id="282" w:name="_Toc456713258"/>
      <w:bookmarkStart w:id="283" w:name="_Toc76339977"/>
      <w:bookmarkStart w:id="284" w:name="_Toc75688196"/>
      <w:bookmarkStart w:id="285" w:name="_Toc75646017"/>
      <w:r>
        <w:rPr>
          <w:rFonts w:hint="eastAsia" w:ascii="仿宋_GB2312" w:hAnsi="宋体" w:eastAsia="仿宋_GB2312"/>
          <w:color w:val="000000" w:themeColor="text1"/>
          <w:sz w:val="32"/>
          <w14:textFill>
            <w14:solidFill>
              <w14:schemeClr w14:val="tx1"/>
            </w14:solidFill>
          </w14:textFill>
        </w:rPr>
        <w:t>第九章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商标</w:t>
      </w:r>
      <w:bookmarkEnd w:id="281"/>
      <w:bookmarkEnd w:id="282"/>
      <w:bookmarkEnd w:id="283"/>
      <w:bookmarkEnd w:id="284"/>
      <w:bookmarkEnd w:id="285"/>
    </w:p>
    <w:p>
      <w:pPr>
        <w:ind w:firstLine="640" w:firstLineChars="200"/>
        <w:jc w:val="left"/>
        <w:rPr>
          <w:rFonts w:ascii="仿宋_GB2312" w:hAnsi="宋体" w:eastAsia="仿宋_GB2312"/>
          <w:color w:val="000000"/>
          <w:sz w:val="32"/>
          <w:szCs w:val="32"/>
        </w:rPr>
      </w:pPr>
      <w:r>
        <w:rPr>
          <w:rFonts w:ascii="仿宋_GB2312" w:hAnsi="宋体" w:eastAsia="仿宋_GB2312"/>
          <w:color w:val="000000"/>
          <w:sz w:val="32"/>
          <w:szCs w:val="32"/>
        </w:rPr>
        <w:t xml:space="preserve">9.1 </w:t>
      </w:r>
      <w:r>
        <w:rPr>
          <w:rFonts w:hint="eastAsia" w:ascii="仿宋_GB2312" w:hAnsi="宋体" w:eastAsia="仿宋_GB2312"/>
          <w:color w:val="000000"/>
          <w:sz w:val="32"/>
          <w:szCs w:val="32"/>
        </w:rPr>
        <w:t>关于商标，取得发行人拥有的商标明细、被授权使用的商标明细、授权他人使用的商标明细，核查发行人是否拥有其日常产品销售所需要的主要商标；取得发行人控股股东、实际控制人拥有的商标明细，核查发行人是否存在主要商标由发行人控股股东、实际控制人持有的情形，是否对发行人的独立性存在重大不利影响；核查公司的核心商标是否存在诉讼或仲裁的情形，是否可能对发行人生产经营造成重大影响；关注是否存在因商号、商标混同或相似的情形及对发行人生产经营的影响。如果存在主要商标由控股股东、实际控制人或其他方授权发行人使用，核查该等商标对发行人的重要程度、未投入发行人的原因、租赁或授权使用费用的公允性、是否能确保发行人长期使用、今后的处置方案等，是否对发行人资产完整性和独立性构成重大不利影响。</w:t>
      </w:r>
    </w:p>
    <w:p>
      <w:pPr>
        <w:widowControl/>
        <w:jc w:val="left"/>
        <w:rPr>
          <w:bCs/>
          <w:sz w:val="24"/>
        </w:rPr>
      </w:pPr>
      <w:r>
        <w:rPr>
          <w:bCs/>
          <w:sz w:val="24"/>
        </w:rPr>
        <w:br w:type="page"/>
      </w:r>
    </w:p>
    <w:p>
      <w:pPr>
        <w:pStyle w:val="33"/>
        <w:spacing w:before="0" w:after="0" w:line="360" w:lineRule="auto"/>
        <w:jc w:val="left"/>
        <w:outlineLvl w:val="1"/>
        <w:rPr>
          <w:rFonts w:ascii="仿宋_GB2312" w:hAnsi="宋体" w:eastAsia="仿宋_GB2312"/>
          <w:color w:val="000000" w:themeColor="text1"/>
          <w:sz w:val="32"/>
          <w14:textFill>
            <w14:solidFill>
              <w14:schemeClr w14:val="tx1"/>
            </w14:solidFill>
          </w14:textFill>
        </w:rPr>
      </w:pPr>
      <w:bookmarkStart w:id="286" w:name="_Toc76472406"/>
      <w:bookmarkStart w:id="287" w:name="_Toc1831852922"/>
      <w:bookmarkStart w:id="288" w:name="_Toc75688197"/>
      <w:bookmarkStart w:id="289" w:name="_Toc105940669"/>
      <w:r>
        <w:rPr>
          <w:rFonts w:hint="eastAsia" w:ascii="仿宋_GB2312" w:hAnsi="宋体" w:eastAsia="仿宋_GB2312"/>
          <w:color w:val="000000" w:themeColor="text1"/>
          <w:sz w:val="32"/>
          <w14:textFill>
            <w14:solidFill>
              <w14:schemeClr w14:val="tx1"/>
            </w14:solidFill>
          </w14:textFill>
        </w:rPr>
        <w:t>附件</w:t>
      </w:r>
      <w:r>
        <w:rPr>
          <w:rFonts w:ascii="仿宋_GB2312" w:hAnsi="宋体" w:eastAsia="仿宋_GB2312"/>
          <w:color w:val="000000" w:themeColor="text1"/>
          <w:sz w:val="32"/>
          <w14:textFill>
            <w14:solidFill>
              <w14:schemeClr w14:val="tx1"/>
            </w14:solidFill>
          </w14:textFill>
        </w:rPr>
        <w:t>4</w:t>
      </w:r>
      <w:bookmarkEnd w:id="286"/>
      <w:bookmarkEnd w:id="287"/>
      <w:bookmarkEnd w:id="288"/>
      <w:bookmarkEnd w:id="289"/>
      <w:bookmarkStart w:id="290" w:name="OLE_LINK46"/>
      <w:bookmarkStart w:id="291" w:name="OLE_LINK47"/>
    </w:p>
    <w:p>
      <w:pPr>
        <w:pStyle w:val="33"/>
        <w:spacing w:before="0" w:after="0" w:line="360" w:lineRule="auto"/>
        <w:outlineLvl w:val="1"/>
        <w:rPr>
          <w:rFonts w:ascii="仿宋_GB2312" w:hAnsi="宋体" w:eastAsia="仿宋_GB2312"/>
          <w:color w:val="000000" w:themeColor="text1"/>
          <w:sz w:val="32"/>
          <w14:textFill>
            <w14:solidFill>
              <w14:schemeClr w14:val="tx1"/>
            </w14:solidFill>
          </w14:textFill>
        </w:rPr>
      </w:pPr>
      <w:bookmarkStart w:id="292" w:name="_Toc76471947"/>
      <w:bookmarkStart w:id="293" w:name="_Toc76472407"/>
      <w:bookmarkStart w:id="294" w:name="_Toc105940670"/>
      <w:r>
        <w:rPr>
          <w:rFonts w:hint="eastAsia" w:ascii="仿宋_GB2312" w:hAnsi="宋体" w:eastAsia="仿宋_GB2312"/>
          <w:color w:val="000000" w:themeColor="text1"/>
          <w:sz w:val="32"/>
          <w14:textFill>
            <w14:solidFill>
              <w14:schemeClr w14:val="tx1"/>
            </w14:solidFill>
          </w14:textFill>
        </w:rPr>
        <w:t>特定行业保荐人尽职调查工作指南第</w:t>
      </w:r>
      <w:r>
        <w:rPr>
          <w:rFonts w:ascii="仿宋_GB2312" w:hAnsi="宋体" w:eastAsia="仿宋_GB2312"/>
          <w:color w:val="000000" w:themeColor="text1"/>
          <w:sz w:val="32"/>
          <w14:textFill>
            <w14:solidFill>
              <w14:schemeClr w14:val="tx1"/>
            </w14:solidFill>
          </w14:textFill>
        </w:rPr>
        <w:t>4号</w:t>
      </w:r>
      <w:bookmarkEnd w:id="292"/>
      <w:bookmarkEnd w:id="293"/>
      <w:bookmarkEnd w:id="294"/>
    </w:p>
    <w:p>
      <w:pPr>
        <w:pStyle w:val="33"/>
        <w:spacing w:before="0" w:after="0" w:line="360" w:lineRule="auto"/>
        <w:outlineLvl w:val="1"/>
        <w:rPr>
          <w:rFonts w:ascii="仿宋_GB2312" w:hAnsi="宋体" w:eastAsia="仿宋_GB2312"/>
          <w:color w:val="000000" w:themeColor="text1"/>
          <w:sz w:val="32"/>
          <w14:textFill>
            <w14:solidFill>
              <w14:schemeClr w14:val="tx1"/>
            </w14:solidFill>
          </w14:textFill>
        </w:rPr>
      </w:pPr>
      <w:bookmarkStart w:id="295" w:name="_Toc76472408"/>
      <w:bookmarkStart w:id="296" w:name="_Toc1432311582"/>
      <w:bookmarkStart w:id="297" w:name="_Toc76471948"/>
      <w:bookmarkStart w:id="298" w:name="_Toc105940671"/>
      <w:r>
        <w:rPr>
          <w:rFonts w:hint="eastAsia" w:ascii="仿宋_GB2312" w:hAnsi="宋体" w:eastAsia="仿宋_GB2312"/>
          <w:color w:val="000000" w:themeColor="text1"/>
          <w:sz w:val="32"/>
          <w14:textFill>
            <w14:solidFill>
              <w14:schemeClr w14:val="tx1"/>
            </w14:solidFill>
          </w14:textFill>
        </w:rPr>
        <w:t>——医药类企业</w:t>
      </w:r>
      <w:bookmarkEnd w:id="295"/>
      <w:bookmarkEnd w:id="296"/>
      <w:bookmarkEnd w:id="297"/>
      <w:bookmarkEnd w:id="298"/>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299" w:name="_Toc75646018"/>
      <w:bookmarkStart w:id="300" w:name="_Toc75792118"/>
      <w:bookmarkStart w:id="301" w:name="_Toc75688199"/>
      <w:bookmarkStart w:id="302" w:name="_Toc871137379"/>
      <w:bookmarkStart w:id="303" w:name="_Toc76339979"/>
      <w:r>
        <w:rPr>
          <w:rFonts w:hint="eastAsia" w:ascii="仿宋_GB2312" w:hAnsi="宋体" w:eastAsia="仿宋_GB2312"/>
          <w:color w:val="000000" w:themeColor="text1"/>
          <w:sz w:val="32"/>
          <w14:textFill>
            <w14:solidFill>
              <w14:schemeClr w14:val="tx1"/>
            </w14:solidFill>
          </w14:textFill>
        </w:rPr>
        <w:t>第一章</w:t>
      </w:r>
      <w:bookmarkEnd w:id="299"/>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引言</w:t>
      </w:r>
      <w:bookmarkEnd w:id="300"/>
      <w:bookmarkEnd w:id="301"/>
      <w:bookmarkEnd w:id="302"/>
      <w:bookmarkEnd w:id="303"/>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1.1 </w:t>
      </w:r>
      <w:r>
        <w:rPr>
          <w:rFonts w:hint="eastAsia" w:ascii="仿宋_GB2312" w:hAnsi="宋体" w:eastAsia="仿宋_GB2312"/>
          <w:color w:val="000000" w:themeColor="text1"/>
          <w:sz w:val="32"/>
          <w:szCs w:val="32"/>
          <w14:textFill>
            <w14:solidFill>
              <w14:schemeClr w14:val="tx1"/>
            </w14:solidFill>
          </w14:textFill>
        </w:rPr>
        <w:t>本指南旨在根据医药类企业业务特点、运营模式并结合影响医药类企业规范运行及持续经营的主要因素，提示保荐人在尽职调查过程中需要关注的主要风险和问题，以及针对上述风险和问题所应采取的一般性调查方法，保荐人应当针对企业的具体业务特点、风险判断及重要性原则，选择性采用、补充或完善。</w:t>
      </w:r>
    </w:p>
    <w:p>
      <w:pPr>
        <w:ind w:firstLine="640" w:firstLineChars="200"/>
        <w:jc w:val="both"/>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1.2 </w:t>
      </w:r>
      <w:r>
        <w:rPr>
          <w:rFonts w:hint="eastAsia" w:ascii="仿宋_GB2312" w:hAnsi="宋体" w:eastAsia="仿宋_GB2312"/>
          <w:color w:val="000000" w:themeColor="text1"/>
          <w:sz w:val="32"/>
          <w:szCs w:val="32"/>
          <w14:textFill>
            <w14:solidFill>
              <w14:schemeClr w14:val="tx1"/>
            </w14:solidFill>
          </w14:textFill>
        </w:rPr>
        <w:t>医药企业和</w:t>
      </w:r>
      <w:r>
        <w:rPr>
          <w:rFonts w:ascii="仿宋_GB2312" w:hAnsi="宋体" w:eastAsia="仿宋_GB2312"/>
          <w:color w:val="000000" w:themeColor="text1"/>
          <w:sz w:val="32"/>
          <w:szCs w:val="32"/>
          <w14:textFill>
            <w14:solidFill>
              <w14:schemeClr w14:val="tx1"/>
            </w14:solidFill>
          </w14:textFill>
        </w:rPr>
        <w:t>医疗器械企业的主要特点是产品研发投入高，获得认证到上市销售耗时长并且不确定性高，具有长周期、高投资、高风险的特征</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行业受到严格监管，部分细分领域存在准入限制；</w:t>
      </w:r>
      <w:r>
        <w:rPr>
          <w:rFonts w:hint="eastAsia" w:ascii="仿宋_GB2312" w:hAnsi="宋体" w:eastAsia="仿宋_GB2312"/>
          <w:color w:val="000000" w:themeColor="text1"/>
          <w:sz w:val="32"/>
          <w:szCs w:val="32"/>
          <w14:textFill>
            <w14:solidFill>
              <w14:schemeClr w14:val="tx1"/>
            </w14:solidFill>
          </w14:textFill>
        </w:rPr>
        <w:t>研发服务企业的主要特点是企业研发及运营高度依赖核心技术、专业人才及知识产权保护，产品</w:t>
      </w:r>
      <w:r>
        <w:rPr>
          <w:rFonts w:ascii="仿宋_GB2312" w:hAnsi="宋体" w:eastAsia="仿宋_GB2312"/>
          <w:color w:val="000000" w:themeColor="text1"/>
          <w:sz w:val="32"/>
          <w:szCs w:val="32"/>
          <w14:textFill>
            <w14:solidFill>
              <w14:schemeClr w14:val="tx1"/>
            </w14:solidFill>
          </w14:textFill>
        </w:rPr>
        <w:t>/服务</w:t>
      </w:r>
      <w:r>
        <w:rPr>
          <w:rFonts w:hint="eastAsia" w:ascii="仿宋_GB2312" w:hAnsi="宋体" w:eastAsia="仿宋_GB2312"/>
          <w:color w:val="000000" w:themeColor="text1"/>
          <w:sz w:val="32"/>
          <w:szCs w:val="32"/>
          <w14:textFill>
            <w14:solidFill>
              <w14:schemeClr w14:val="tx1"/>
            </w14:solidFill>
          </w14:textFill>
        </w:rPr>
        <w:t>与企业自身技术</w:t>
      </w:r>
      <w:r>
        <w:rPr>
          <w:rFonts w:ascii="仿宋_GB2312" w:hAnsi="宋体" w:eastAsia="仿宋_GB2312"/>
          <w:color w:val="000000" w:themeColor="text1"/>
          <w:sz w:val="32"/>
          <w:szCs w:val="32"/>
          <w14:textFill>
            <w14:solidFill>
              <w14:schemeClr w14:val="tx1"/>
            </w14:solidFill>
          </w14:textFill>
        </w:rPr>
        <w:t>研发</w:t>
      </w:r>
      <w:r>
        <w:rPr>
          <w:rFonts w:hint="eastAsia" w:ascii="仿宋_GB2312" w:hAnsi="宋体" w:eastAsia="仿宋_GB2312"/>
          <w:color w:val="000000" w:themeColor="text1"/>
          <w:sz w:val="32"/>
          <w:szCs w:val="32"/>
          <w14:textFill>
            <w14:solidFill>
              <w14:schemeClr w14:val="tx1"/>
            </w14:solidFill>
          </w14:textFill>
        </w:rPr>
        <w:t>相互交叉</w:t>
      </w:r>
      <w:r>
        <w:rPr>
          <w:rFonts w:ascii="仿宋_GB2312" w:hAnsi="宋体" w:eastAsia="仿宋_GB2312"/>
          <w:color w:val="000000" w:themeColor="text1"/>
          <w:sz w:val="32"/>
          <w:szCs w:val="32"/>
          <w14:textFill>
            <w14:solidFill>
              <w14:schemeClr w14:val="tx1"/>
            </w14:solidFill>
          </w14:textFill>
        </w:rPr>
        <w:t>，业务发展受政策影响较大；</w:t>
      </w:r>
      <w:bookmarkStart w:id="304" w:name="OLE_LINK93"/>
      <w:bookmarkStart w:id="305" w:name="OLE_LINK92"/>
      <w:r>
        <w:rPr>
          <w:rFonts w:hint="eastAsia" w:ascii="仿宋_GB2312" w:hAnsi="宋体" w:eastAsia="仿宋_GB2312"/>
          <w:color w:val="000000" w:themeColor="text1"/>
          <w:sz w:val="32"/>
          <w:szCs w:val="32"/>
          <w14:textFill>
            <w14:solidFill>
              <w14:schemeClr w14:val="tx1"/>
            </w14:solidFill>
          </w14:textFill>
        </w:rPr>
        <w:t>医疗服务企业</w:t>
      </w:r>
      <w:bookmarkEnd w:id="304"/>
      <w:bookmarkEnd w:id="305"/>
      <w:r>
        <w:rPr>
          <w:rFonts w:hint="eastAsia" w:ascii="仿宋_GB2312" w:hAnsi="宋体" w:eastAsia="仿宋_GB2312"/>
          <w:color w:val="000000" w:themeColor="text1"/>
          <w:sz w:val="32"/>
          <w:szCs w:val="32"/>
          <w14:textFill>
            <w14:solidFill>
              <w14:schemeClr w14:val="tx1"/>
            </w14:solidFill>
          </w14:textFill>
        </w:rPr>
        <w:t>的主要特点是资质壁垒与人才壁垒高，盈利周期和品牌培育期长，业务开展具有一定的季节性与区域性特征，受到较强的行业监管。</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1.3 本指南适用于</w:t>
      </w:r>
      <w:r>
        <w:rPr>
          <w:rFonts w:hint="eastAsia" w:ascii="仿宋_GB2312" w:hAnsi="宋体" w:eastAsia="仿宋_GB2312"/>
          <w:color w:val="000000" w:themeColor="text1"/>
          <w:sz w:val="32"/>
          <w:szCs w:val="32"/>
          <w14:textFill>
            <w14:solidFill>
              <w14:schemeClr w14:val="tx1"/>
            </w14:solidFill>
          </w14:textFill>
        </w:rPr>
        <w:t>拟首次公开发行</w:t>
      </w:r>
      <w:r>
        <w:rPr>
          <w:rFonts w:ascii="仿宋_GB2312" w:hAnsi="宋体" w:eastAsia="仿宋_GB2312"/>
          <w:color w:val="000000" w:themeColor="text1"/>
          <w:sz w:val="32"/>
          <w:szCs w:val="32"/>
          <w14:textFill>
            <w14:solidFill>
              <w14:schemeClr w14:val="tx1"/>
            </w14:solidFill>
          </w14:textFill>
        </w:rPr>
        <w:t>A股股票或存托凭证</w:t>
      </w:r>
      <w:r>
        <w:rPr>
          <w:rFonts w:hint="eastAsia" w:ascii="仿宋_GB2312" w:hAnsi="宋体" w:eastAsia="仿宋_GB2312"/>
          <w:color w:val="000000" w:themeColor="text1"/>
          <w:sz w:val="32"/>
          <w:szCs w:val="32"/>
          <w14:textFill>
            <w14:solidFill>
              <w14:schemeClr w14:val="tx1"/>
            </w14:solidFill>
          </w14:textFill>
        </w:rPr>
        <w:t>的医药、医疗器械、研发服务、医疗服务等医药类企业的尽职调查，其他企业如果主营业务中也包括医药类业务也可参照本提示有关内容开展相关工作。</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1.4 保荐人对医药类企业的尽职调查在适用本指南时，还应当同时遵守《保荐人尽职调查工作准则》中的各项规定。</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306" w:name="_Toc1200577209"/>
      <w:bookmarkStart w:id="307" w:name="_Toc75688200"/>
      <w:bookmarkStart w:id="308" w:name="_Toc75792119"/>
      <w:bookmarkStart w:id="309" w:name="_Toc75646019"/>
      <w:bookmarkStart w:id="310" w:name="_Toc76339980"/>
      <w:r>
        <w:rPr>
          <w:rFonts w:hint="eastAsia" w:ascii="仿宋_GB2312" w:hAnsi="宋体" w:eastAsia="仿宋_GB2312"/>
          <w:color w:val="000000" w:themeColor="text1"/>
          <w:sz w:val="32"/>
          <w14:textFill>
            <w14:solidFill>
              <w14:schemeClr w14:val="tx1"/>
            </w14:solidFill>
          </w14:textFill>
        </w:rPr>
        <w:t>第二章</w:t>
      </w:r>
      <w:r>
        <w:rPr>
          <w:rFonts w:ascii="仿宋_GB2312" w:hAnsi="宋体" w:eastAsia="仿宋_GB2312"/>
          <w:color w:val="000000" w:themeColor="text1"/>
          <w:sz w:val="32"/>
          <w14:textFill>
            <w14:solidFill>
              <w14:schemeClr w14:val="tx1"/>
            </w14:solidFill>
          </w14:textFill>
        </w:rPr>
        <w:t xml:space="preserve"> </w:t>
      </w:r>
      <w:r>
        <w:rPr>
          <w:rFonts w:hint="eastAsia" w:ascii="仿宋_GB2312" w:hAnsi="宋体" w:eastAsia="仿宋_GB2312"/>
          <w:color w:val="000000" w:themeColor="text1"/>
          <w:sz w:val="32"/>
          <w14:textFill>
            <w14:solidFill>
              <w14:schemeClr w14:val="tx1"/>
            </w14:solidFill>
          </w14:textFill>
        </w:rPr>
        <w:t>行业情况及竞争状况</w:t>
      </w:r>
      <w:bookmarkEnd w:id="306"/>
      <w:bookmarkEnd w:id="307"/>
      <w:bookmarkEnd w:id="308"/>
      <w:bookmarkEnd w:id="309"/>
      <w:bookmarkEnd w:id="310"/>
    </w:p>
    <w:p>
      <w:pPr>
        <w:ind w:firstLine="640" w:firstLineChars="200"/>
        <w:jc w:val="both"/>
        <w:rPr>
          <w:rFonts w:ascii="仿宋_GB2312" w:hAnsi="宋体" w:eastAsia="仿宋_GB2312"/>
          <w:color w:val="000000" w:themeColor="text1"/>
          <w:sz w:val="32"/>
          <w:szCs w:val="32"/>
          <w14:textFill>
            <w14:solidFill>
              <w14:schemeClr w14:val="tx1"/>
            </w14:solidFill>
          </w14:textFill>
        </w:rPr>
      </w:pPr>
      <w:bookmarkStart w:id="311" w:name="OLE_LINK1"/>
      <w:bookmarkStart w:id="312" w:name="OLE_LINK2"/>
      <w:r>
        <w:rPr>
          <w:rFonts w:ascii="仿宋_GB2312" w:hAnsi="宋体" w:eastAsia="仿宋_GB2312"/>
          <w:color w:val="000000" w:themeColor="text1"/>
          <w:sz w:val="32"/>
          <w:szCs w:val="32"/>
          <w14:textFill>
            <w14:solidFill>
              <w14:schemeClr w14:val="tx1"/>
            </w14:solidFill>
          </w14:textFill>
        </w:rPr>
        <w:t xml:space="preserve">2.1 </w:t>
      </w:r>
      <w:r>
        <w:rPr>
          <w:rFonts w:hint="eastAsia" w:ascii="仿宋_GB2312" w:hAnsi="宋体" w:eastAsia="仿宋_GB2312"/>
          <w:color w:val="000000" w:themeColor="text1"/>
          <w:sz w:val="32"/>
          <w:szCs w:val="32"/>
          <w14:textFill>
            <w14:solidFill>
              <w14:schemeClr w14:val="tx1"/>
            </w14:solidFill>
          </w14:textFill>
        </w:rPr>
        <w:t>通过</w:t>
      </w:r>
      <w:r>
        <w:rPr>
          <w:rFonts w:ascii="仿宋_GB2312" w:hAnsi="宋体" w:eastAsia="仿宋_GB2312"/>
          <w:color w:val="000000" w:themeColor="text1"/>
          <w:sz w:val="32"/>
          <w:szCs w:val="32"/>
          <w14:textFill>
            <w14:solidFill>
              <w14:schemeClr w14:val="tx1"/>
            </w14:solidFill>
          </w14:textFill>
        </w:rPr>
        <w:t>收集行业主管部门制定的发展规划、行业管理方面的法律法规及规范性文件，了解行业监管体制和政策趋势</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结合采购谈判、医保/商业保险支付、注册评审等产业政策改革变化趋势，结合发行人现有产品进入医疗保险的情况、医疗保险报销价格的变化及未来趋势，分析对发行人经营模式及财务状况的影响，审慎评估发行人产品未来的市场空间、竞争格局等。</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2.2</w:t>
      </w:r>
      <w:bookmarkStart w:id="313" w:name="OLE_LINK83"/>
      <w:bookmarkStart w:id="314" w:name="OLE_LINK82"/>
      <w:r>
        <w:rPr>
          <w:rFonts w:ascii="仿宋_GB2312" w:hAnsi="宋体" w:eastAsia="仿宋_GB2312"/>
          <w:color w:val="000000" w:themeColor="text1"/>
          <w:sz w:val="32"/>
          <w:szCs w:val="32"/>
          <w14:textFill>
            <w14:solidFill>
              <w14:schemeClr w14:val="tx1"/>
            </w14:solidFill>
          </w14:textFill>
        </w:rPr>
        <w:t xml:space="preserve"> 通过查询医药与医疗器械相关行业政策法规</w:t>
      </w:r>
      <w:r>
        <w:rPr>
          <w:rFonts w:hint="eastAsia" w:ascii="仿宋_GB2312" w:hAnsi="宋体" w:eastAsia="仿宋_GB2312"/>
          <w:color w:val="000000" w:themeColor="text1"/>
          <w:sz w:val="32"/>
          <w:szCs w:val="32"/>
          <w14:textFill>
            <w14:solidFill>
              <w14:schemeClr w14:val="tx1"/>
            </w14:solidFill>
          </w14:textFill>
        </w:rPr>
        <w:t>，包括但不限于“两票制”、药物一致性评价、集中采购（“集采”）等，了解上述行业政策对发行人报告期内生产、经营与销售的影响，现有销售模式、与同行业企业的差异情况。分析是否存在地区或全国集中采购的情况或趋势，分析发行人可能的应对策略。</w:t>
      </w:r>
      <w:bookmarkEnd w:id="311"/>
      <w:bookmarkEnd w:id="312"/>
      <w:bookmarkEnd w:id="313"/>
      <w:bookmarkEnd w:id="314"/>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2.3 通过查阅国家及行业相关法律法规、行业相关资料，</w:t>
      </w:r>
      <w:r>
        <w:rPr>
          <w:rFonts w:hint="eastAsia" w:ascii="仿宋_GB2312" w:hAnsi="宋体" w:eastAsia="仿宋_GB2312"/>
          <w:color w:val="000000" w:themeColor="text1"/>
          <w:sz w:val="32"/>
          <w:szCs w:val="32"/>
          <w14:textFill>
            <w14:solidFill>
              <w14:schemeClr w14:val="tx1"/>
            </w14:solidFill>
          </w14:textFill>
        </w:rPr>
        <w:t>结合</w:t>
      </w:r>
      <w:r>
        <w:rPr>
          <w:rFonts w:ascii="仿宋_GB2312" w:hAnsi="宋体" w:eastAsia="仿宋_GB2312"/>
          <w:color w:val="000000" w:themeColor="text1"/>
          <w:sz w:val="32"/>
          <w:szCs w:val="32"/>
          <w14:textFill>
            <w14:solidFill>
              <w14:schemeClr w14:val="tx1"/>
            </w14:solidFill>
          </w14:textFill>
        </w:rPr>
        <w:t>发行人</w:t>
      </w:r>
      <w:r>
        <w:rPr>
          <w:rFonts w:hint="eastAsia" w:ascii="仿宋_GB2312" w:hAnsi="宋体" w:eastAsia="仿宋_GB2312"/>
          <w:color w:val="000000" w:themeColor="text1"/>
          <w:sz w:val="32"/>
          <w:szCs w:val="32"/>
          <w14:textFill>
            <w14:solidFill>
              <w14:schemeClr w14:val="tx1"/>
            </w14:solidFill>
          </w14:textFill>
        </w:rPr>
        <w:t>的业务模式</w:t>
      </w:r>
      <w:r>
        <w:rPr>
          <w:rFonts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核查</w:t>
      </w:r>
      <w:r>
        <w:rPr>
          <w:rFonts w:ascii="仿宋_GB2312" w:hAnsi="宋体" w:eastAsia="仿宋_GB2312"/>
          <w:color w:val="000000" w:themeColor="text1"/>
          <w:sz w:val="32"/>
          <w:szCs w:val="32"/>
          <w14:textFill>
            <w14:solidFill>
              <w14:schemeClr w14:val="tx1"/>
            </w14:solidFill>
          </w14:textFill>
        </w:rPr>
        <w:t>发行人是否具备相应的经营及管理能力</w:t>
      </w:r>
      <w:r>
        <w:rPr>
          <w:rFonts w:hint="eastAsia" w:ascii="仿宋_GB2312" w:hAnsi="宋体" w:eastAsia="仿宋_GB2312"/>
          <w:color w:val="000000" w:themeColor="text1"/>
          <w:sz w:val="32"/>
          <w:szCs w:val="32"/>
          <w14:textFill>
            <w14:solidFill>
              <w14:schemeClr w14:val="tx1"/>
            </w14:solidFill>
          </w14:textFill>
        </w:rPr>
        <w:t>。针对</w:t>
      </w:r>
      <w:r>
        <w:rPr>
          <w:rFonts w:ascii="仿宋_GB2312" w:hAnsi="宋体" w:eastAsia="仿宋_GB2312"/>
          <w:color w:val="000000" w:themeColor="text1"/>
          <w:sz w:val="32"/>
          <w:szCs w:val="32"/>
          <w14:textFill>
            <w14:solidFill>
              <w14:schemeClr w14:val="tx1"/>
            </w14:solidFill>
          </w14:textFill>
        </w:rPr>
        <w:t>医疗服务</w:t>
      </w:r>
      <w:r>
        <w:rPr>
          <w:rFonts w:hint="eastAsia" w:ascii="仿宋_GB2312" w:hAnsi="宋体" w:eastAsia="仿宋_GB2312"/>
          <w:color w:val="000000" w:themeColor="text1"/>
          <w:sz w:val="32"/>
          <w:szCs w:val="32"/>
          <w14:textFill>
            <w14:solidFill>
              <w14:schemeClr w14:val="tx1"/>
            </w14:solidFill>
          </w14:textFill>
        </w:rPr>
        <w:t>行业发行人，</w:t>
      </w:r>
      <w:r>
        <w:rPr>
          <w:rFonts w:ascii="仿宋_GB2312" w:hAnsi="宋体" w:eastAsia="仿宋_GB2312"/>
          <w:color w:val="000000" w:themeColor="text1"/>
          <w:sz w:val="32"/>
          <w:szCs w:val="32"/>
          <w14:textFill>
            <w14:solidFill>
              <w14:schemeClr w14:val="tx1"/>
            </w14:solidFill>
          </w14:textFill>
        </w:rPr>
        <w:t>核查发行人是否为公立医院</w:t>
      </w:r>
      <w:r>
        <w:rPr>
          <w:rFonts w:hint="eastAsia" w:ascii="仿宋_GB2312" w:hAnsi="宋体" w:eastAsia="仿宋_GB2312"/>
          <w:color w:val="000000" w:themeColor="text1"/>
          <w:sz w:val="32"/>
          <w:szCs w:val="32"/>
          <w14:textFill>
            <w14:solidFill>
              <w14:schemeClr w14:val="tx1"/>
            </w14:solidFill>
          </w14:textFill>
        </w:rPr>
        <w:t>、发行人是否具备独立面向市场的能力，</w:t>
      </w:r>
      <w:r>
        <w:rPr>
          <w:rFonts w:ascii="仿宋_GB2312" w:hAnsi="宋体" w:eastAsia="仿宋_GB2312"/>
          <w:color w:val="000000" w:themeColor="text1"/>
          <w:sz w:val="32"/>
          <w:szCs w:val="32"/>
          <w14:textFill>
            <w14:solidFill>
              <w14:schemeClr w14:val="tx1"/>
            </w14:solidFill>
          </w14:textFill>
        </w:rPr>
        <w:t>分析其业务开展是否需遵循特定的国家相关法律法规，进而导致发行人业务开展与其他竞争对手适用不同的监管制度、面对不同的竞争壁垒等。</w:t>
      </w:r>
      <w:bookmarkEnd w:id="290"/>
      <w:bookmarkEnd w:id="291"/>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315" w:name="_Toc796569313"/>
      <w:bookmarkStart w:id="316" w:name="_Toc75688201"/>
      <w:bookmarkStart w:id="317" w:name="_Toc75646020"/>
      <w:bookmarkStart w:id="318" w:name="_Toc75792120"/>
      <w:bookmarkStart w:id="319" w:name="_Toc76339981"/>
      <w:r>
        <w:rPr>
          <w:rFonts w:ascii="仿宋_GB2312" w:hAnsi="宋体" w:eastAsia="仿宋_GB2312"/>
          <w:color w:val="000000" w:themeColor="text1"/>
          <w:sz w:val="32"/>
          <w14:textFill>
            <w14:solidFill>
              <w14:schemeClr w14:val="tx1"/>
            </w14:solidFill>
          </w14:textFill>
        </w:rPr>
        <w:t>第</w:t>
      </w:r>
      <w:r>
        <w:rPr>
          <w:rFonts w:hint="eastAsia" w:ascii="仿宋_GB2312" w:hAnsi="宋体" w:eastAsia="仿宋_GB2312"/>
          <w:color w:val="000000" w:themeColor="text1"/>
          <w:sz w:val="32"/>
          <w14:textFill>
            <w14:solidFill>
              <w14:schemeClr w14:val="tx1"/>
            </w14:solidFill>
          </w14:textFill>
        </w:rPr>
        <w:t>三</w:t>
      </w:r>
      <w:r>
        <w:rPr>
          <w:rFonts w:ascii="仿宋_GB2312" w:hAnsi="宋体" w:eastAsia="仿宋_GB2312"/>
          <w:color w:val="000000" w:themeColor="text1"/>
          <w:sz w:val="32"/>
          <w14:textFill>
            <w14:solidFill>
              <w14:schemeClr w14:val="tx1"/>
            </w14:solidFill>
          </w14:textFill>
        </w:rPr>
        <w:t>章 主营业务与主要产品</w:t>
      </w:r>
      <w:bookmarkEnd w:id="315"/>
      <w:bookmarkEnd w:id="316"/>
      <w:bookmarkEnd w:id="317"/>
      <w:bookmarkEnd w:id="318"/>
      <w:bookmarkEnd w:id="319"/>
    </w:p>
    <w:p>
      <w:pPr>
        <w:ind w:firstLine="640" w:firstLineChars="200"/>
        <w:jc w:val="left"/>
        <w:rPr>
          <w:rFonts w:ascii="仿宋_GB2312" w:hAnsi="宋体" w:eastAsia="仿宋_GB2312"/>
          <w:color w:val="000000" w:themeColor="text1"/>
          <w:sz w:val="32"/>
          <w:szCs w:val="32"/>
          <w14:textFill>
            <w14:solidFill>
              <w14:schemeClr w14:val="tx1"/>
            </w14:solidFill>
          </w14:textFill>
        </w:rPr>
      </w:pPr>
      <w:bookmarkStart w:id="320" w:name="OLE_LINK76"/>
      <w:bookmarkStart w:id="321" w:name="OLE_LINK77"/>
      <w:bookmarkStart w:id="322" w:name="OLE_LINK48"/>
      <w:bookmarkStart w:id="323" w:name="OLE_LINK49"/>
      <w:r>
        <w:rPr>
          <w:rFonts w:ascii="仿宋_GB2312" w:hAnsi="宋体" w:eastAsia="仿宋_GB2312"/>
          <w:color w:val="000000" w:themeColor="text1"/>
          <w:sz w:val="32"/>
          <w:szCs w:val="32"/>
          <w14:textFill>
            <w14:solidFill>
              <w14:schemeClr w14:val="tx1"/>
            </w14:solidFill>
          </w14:textFill>
        </w:rPr>
        <w:t>3.1 通过取得</w:t>
      </w:r>
      <w:r>
        <w:rPr>
          <w:rFonts w:hint="eastAsia" w:ascii="仿宋_GB2312" w:hAnsi="宋体" w:eastAsia="仿宋_GB2312"/>
          <w:color w:val="000000" w:themeColor="text1"/>
          <w:sz w:val="32"/>
          <w:szCs w:val="32"/>
          <w14:textFill>
            <w14:solidFill>
              <w14:schemeClr w14:val="tx1"/>
            </w14:solidFill>
          </w14:textFill>
        </w:rPr>
        <w:t>发</w:t>
      </w:r>
      <w:r>
        <w:rPr>
          <w:rFonts w:ascii="仿宋_GB2312" w:hAnsi="宋体" w:eastAsia="仿宋_GB2312"/>
          <w:color w:val="000000" w:themeColor="text1"/>
          <w:sz w:val="32"/>
          <w:szCs w:val="32"/>
          <w14:textFill>
            <w14:solidFill>
              <w14:schemeClr w14:val="tx1"/>
            </w14:solidFill>
          </w14:textFill>
        </w:rPr>
        <w:t>行人</w:t>
      </w:r>
      <w:r>
        <w:rPr>
          <w:rFonts w:hint="eastAsia" w:ascii="仿宋_GB2312" w:hAnsi="宋体" w:eastAsia="仿宋_GB2312"/>
          <w:color w:val="000000" w:themeColor="text1"/>
          <w:sz w:val="32"/>
          <w:szCs w:val="32"/>
          <w14:textFill>
            <w14:solidFill>
              <w14:schemeClr w14:val="tx1"/>
            </w14:solidFill>
          </w14:textFill>
        </w:rPr>
        <w:t>（医药企业、医疗器械企业、研发服务企业、医疗服务企业）销</w:t>
      </w:r>
      <w:r>
        <w:rPr>
          <w:rFonts w:ascii="仿宋_GB2312" w:hAnsi="宋体" w:eastAsia="仿宋_GB2312"/>
          <w:color w:val="000000" w:themeColor="text1"/>
          <w:sz w:val="32"/>
          <w:szCs w:val="32"/>
          <w14:textFill>
            <w14:solidFill>
              <w14:schemeClr w14:val="tx1"/>
            </w14:solidFill>
          </w14:textFill>
        </w:rPr>
        <w:t>售收入及知识产权明细，分析主营业务收入分类及来源，调查发行人主要产品的技术应用情况；</w:t>
      </w:r>
      <w:r>
        <w:rPr>
          <w:rFonts w:hint="eastAsia" w:ascii="仿宋_GB2312" w:hAnsi="宋体" w:eastAsia="仿宋_GB2312"/>
          <w:color w:val="000000" w:themeColor="text1"/>
          <w:sz w:val="32"/>
          <w:szCs w:val="32"/>
          <w14:textFill>
            <w14:solidFill>
              <w14:schemeClr w14:val="tx1"/>
            </w14:solidFill>
          </w14:textFill>
        </w:rPr>
        <w:t>针对现金收款，通过收集发行人的相关内控措施，核对收款金额，核查存现金额与当日收现金额的一致性。针对研发和销售产生的会务费、研讨费、销售推广费，核查相关费用的真实性、是否存在商业贿赂。</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3.2 </w:t>
      </w:r>
      <w:r>
        <w:rPr>
          <w:rFonts w:hint="eastAsia" w:ascii="仿宋_GB2312" w:hAnsi="宋体" w:eastAsia="仿宋_GB2312"/>
          <w:color w:val="000000" w:themeColor="text1"/>
          <w:sz w:val="32"/>
          <w:szCs w:val="32"/>
          <w14:textFill>
            <w14:solidFill>
              <w14:schemeClr w14:val="tx1"/>
            </w14:solidFill>
          </w14:textFill>
        </w:rPr>
        <w:t>通过收集公开材料、</w:t>
      </w:r>
      <w:r>
        <w:rPr>
          <w:rFonts w:ascii="仿宋_GB2312" w:hAnsi="宋体" w:eastAsia="仿宋_GB2312"/>
          <w:color w:val="000000" w:themeColor="text1"/>
          <w:sz w:val="32"/>
          <w:szCs w:val="32"/>
          <w14:textFill>
            <w14:solidFill>
              <w14:schemeClr w14:val="tx1"/>
            </w14:solidFill>
          </w14:textFill>
        </w:rPr>
        <w:t>访谈发行人</w:t>
      </w:r>
      <w:r>
        <w:rPr>
          <w:rFonts w:hint="eastAsia" w:ascii="仿宋_GB2312" w:hAnsi="宋体" w:eastAsia="仿宋_GB2312"/>
          <w:color w:val="000000" w:themeColor="text1"/>
          <w:sz w:val="32"/>
          <w:szCs w:val="32"/>
          <w14:textFill>
            <w14:solidFill>
              <w14:schemeClr w14:val="tx1"/>
            </w14:solidFill>
          </w14:textFill>
        </w:rPr>
        <w:t>（医药企业、医疗器械企业、研发服务企业、医疗服务企业）</w:t>
      </w:r>
      <w:r>
        <w:rPr>
          <w:rFonts w:ascii="仿宋_GB2312" w:hAnsi="宋体" w:eastAsia="仿宋_GB2312"/>
          <w:color w:val="000000" w:themeColor="text1"/>
          <w:sz w:val="32"/>
          <w:szCs w:val="32"/>
          <w14:textFill>
            <w14:solidFill>
              <w14:schemeClr w14:val="tx1"/>
            </w14:solidFill>
          </w14:textFill>
        </w:rPr>
        <w:t>管理层</w:t>
      </w:r>
      <w:r>
        <w:rPr>
          <w:rFonts w:hint="eastAsia" w:ascii="仿宋_GB2312" w:hAnsi="宋体" w:eastAsia="仿宋_GB2312"/>
          <w:color w:val="000000" w:themeColor="text1"/>
          <w:sz w:val="32"/>
          <w:szCs w:val="32"/>
          <w14:textFill>
            <w14:solidFill>
              <w14:schemeClr w14:val="tx1"/>
            </w14:solidFill>
          </w14:textFill>
        </w:rPr>
        <w:t>、走访销售推广主体，核查发行人是否出现过医疗事故或药品不良反应的情况；</w:t>
      </w:r>
      <w:r>
        <w:rPr>
          <w:rFonts w:ascii="仿宋_GB2312" w:hAnsi="宋体" w:eastAsia="仿宋_GB2312"/>
          <w:color w:val="000000" w:themeColor="text1"/>
          <w:sz w:val="32"/>
          <w:szCs w:val="32"/>
          <w14:textFill>
            <w14:solidFill>
              <w14:schemeClr w14:val="tx1"/>
            </w14:solidFill>
          </w14:textFill>
        </w:rPr>
        <w:t>调查发行人诉讼情况、创始人及核心技术人员任职经历，分析发行人主要产品销售是否有侵权风险，相关风险对销售收入的影响，必要时可请第三方出具FTO报告。</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3.3 通过访谈发行人管理层、收集行业专家意见、</w:t>
      </w:r>
      <w:r>
        <w:rPr>
          <w:rFonts w:hint="eastAsia" w:ascii="仿宋_GB2312" w:hAnsi="宋体" w:eastAsia="仿宋_GB2312"/>
          <w:color w:val="000000" w:themeColor="text1"/>
          <w:sz w:val="32"/>
          <w:szCs w:val="32"/>
          <w14:textFill>
            <w14:solidFill>
              <w14:schemeClr w14:val="tx1"/>
            </w14:solidFill>
          </w14:textFill>
        </w:rPr>
        <w:t>或行业公开信息及公开学术文献、</w:t>
      </w:r>
      <w:r>
        <w:rPr>
          <w:rFonts w:ascii="仿宋_GB2312" w:hAnsi="宋体" w:eastAsia="仿宋_GB2312"/>
          <w:color w:val="000000" w:themeColor="text1"/>
          <w:sz w:val="32"/>
          <w:szCs w:val="32"/>
          <w14:textFill>
            <w14:solidFill>
              <w14:schemeClr w14:val="tx1"/>
            </w14:solidFill>
          </w14:textFill>
        </w:rPr>
        <w:t>获取发行人</w:t>
      </w:r>
      <w:bookmarkStart w:id="324" w:name="OLE_LINK95"/>
      <w:bookmarkStart w:id="325" w:name="OLE_LINK94"/>
      <w:r>
        <w:rPr>
          <w:rFonts w:hint="eastAsia" w:ascii="仿宋_GB2312" w:hAnsi="宋体" w:eastAsia="仿宋_GB2312"/>
          <w:color w:val="000000" w:themeColor="text1"/>
          <w:sz w:val="32"/>
          <w:szCs w:val="32"/>
          <w14:textFill>
            <w14:solidFill>
              <w14:schemeClr w14:val="tx1"/>
            </w14:solidFill>
          </w14:textFill>
        </w:rPr>
        <w:t>（医药企业、医疗器械企业）</w:t>
      </w:r>
      <w:bookmarkEnd w:id="324"/>
      <w:bookmarkEnd w:id="325"/>
      <w:r>
        <w:rPr>
          <w:rFonts w:ascii="仿宋_GB2312" w:hAnsi="宋体" w:eastAsia="仿宋_GB2312"/>
          <w:color w:val="000000" w:themeColor="text1"/>
          <w:sz w:val="32"/>
          <w:szCs w:val="32"/>
          <w14:textFill>
            <w14:solidFill>
              <w14:schemeClr w14:val="tx1"/>
            </w14:solidFill>
          </w14:textFill>
        </w:rPr>
        <w:t>主要产品重要临床试验数据等方法，了解发行人主要产品的获批时间、研发周期、商业化前景、准入壁垒，是否存在新产品迭代风险等。医疗器械企业常见描述自身产品可实现“进口替代”，该表述需要有相关支撑，一般可从技术角度、市场份额变化等角度核查。</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3.4 </w:t>
      </w:r>
      <w:r>
        <w:rPr>
          <w:rFonts w:hint="eastAsia" w:ascii="仿宋_GB2312" w:hAnsi="宋体" w:eastAsia="仿宋_GB2312"/>
          <w:color w:val="000000" w:themeColor="text1"/>
          <w:sz w:val="32"/>
          <w:szCs w:val="32"/>
          <w14:textFill>
            <w14:solidFill>
              <w14:schemeClr w14:val="tx1"/>
            </w14:solidFill>
          </w14:textFill>
        </w:rPr>
        <w:t>针对</w:t>
      </w:r>
      <w:r>
        <w:rPr>
          <w:rFonts w:ascii="仿宋_GB2312" w:hAnsi="宋体" w:eastAsia="仿宋_GB2312"/>
          <w:color w:val="000000" w:themeColor="text1"/>
          <w:sz w:val="32"/>
          <w:szCs w:val="32"/>
          <w14:textFill>
            <w14:solidFill>
              <w14:schemeClr w14:val="tx1"/>
            </w14:solidFill>
          </w14:textFill>
        </w:rPr>
        <w:t>医药</w:t>
      </w:r>
      <w:r>
        <w:rPr>
          <w:rFonts w:hint="eastAsia" w:ascii="仿宋_GB2312" w:hAnsi="宋体" w:eastAsia="仿宋_GB2312"/>
          <w:color w:val="000000" w:themeColor="text1"/>
          <w:sz w:val="32"/>
          <w:szCs w:val="32"/>
          <w14:textFill>
            <w14:solidFill>
              <w14:schemeClr w14:val="tx1"/>
            </w14:solidFill>
          </w14:textFill>
        </w:rPr>
        <w:t>企业</w:t>
      </w:r>
      <w:r>
        <w:rPr>
          <w:rFonts w:ascii="仿宋_GB2312" w:hAnsi="宋体" w:eastAsia="仿宋_GB2312"/>
          <w:color w:val="000000" w:themeColor="text1"/>
          <w:sz w:val="32"/>
          <w:szCs w:val="32"/>
          <w14:textFill>
            <w14:solidFill>
              <w14:schemeClr w14:val="tx1"/>
            </w14:solidFill>
          </w14:textFill>
        </w:rPr>
        <w:t>与研发服务企业</w:t>
      </w:r>
      <w:bookmarkEnd w:id="320"/>
      <w:bookmarkEnd w:id="321"/>
      <w:r>
        <w:rPr>
          <w:rFonts w:hint="eastAsia" w:ascii="仿宋_GB2312" w:hAnsi="宋体" w:eastAsia="仿宋_GB2312"/>
          <w:color w:val="000000" w:themeColor="text1"/>
          <w:sz w:val="32"/>
          <w:szCs w:val="32"/>
          <w14:textFill>
            <w14:solidFill>
              <w14:schemeClr w14:val="tx1"/>
            </w14:solidFill>
          </w14:textFill>
        </w:rPr>
        <w:t>，</w:t>
      </w:r>
      <w:bookmarkEnd w:id="322"/>
      <w:bookmarkEnd w:id="323"/>
      <w:r>
        <w:rPr>
          <w:rFonts w:ascii="仿宋_GB2312" w:hAnsi="宋体" w:eastAsia="仿宋_GB2312"/>
          <w:color w:val="000000" w:themeColor="text1"/>
          <w:sz w:val="32"/>
          <w:szCs w:val="32"/>
          <w14:textFill>
            <w14:solidFill>
              <w14:schemeClr w14:val="tx1"/>
            </w14:solidFill>
          </w14:textFill>
        </w:rPr>
        <w:t>通过核查发行人房产、设备、人员、专利及著作权情况，按临床试验（例如临床试验运营服务、临床试验现场管理服务）等服务类型划分，了解发行人如何承载上述业务，业务场景如何，包括但不限于：每种业务涉及的房产情况、服务区域、设备数量、人员数量、人员岗位职能划分，采购的外部研发服务情况，涉及的客户类型；关注发行人为客户提供定制化临床试验运营服务时，是否已包含上述其他服务内容，签订合同时是否可自主选择具体服务项目。</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3.5 通过</w:t>
      </w:r>
      <w:r>
        <w:rPr>
          <w:rFonts w:hint="eastAsia" w:ascii="仿宋_GB2312" w:hAnsi="宋体" w:eastAsia="仿宋_GB2312"/>
          <w:color w:val="000000" w:themeColor="text1"/>
          <w:sz w:val="32"/>
          <w:szCs w:val="32"/>
          <w14:textFill>
            <w14:solidFill>
              <w14:schemeClr w14:val="tx1"/>
            </w14:solidFill>
          </w14:textFill>
        </w:rPr>
        <w:t>收集医疗服务企业</w:t>
      </w:r>
      <w:r>
        <w:rPr>
          <w:rFonts w:ascii="仿宋_GB2312" w:hAnsi="宋体" w:eastAsia="仿宋_GB2312"/>
          <w:color w:val="000000" w:themeColor="text1"/>
          <w:sz w:val="32"/>
          <w:szCs w:val="32"/>
          <w14:textFill>
            <w14:solidFill>
              <w14:schemeClr w14:val="tx1"/>
            </w14:solidFill>
          </w14:textFill>
        </w:rPr>
        <w:t>发行人</w:t>
      </w:r>
      <w:r>
        <w:rPr>
          <w:rFonts w:hint="eastAsia" w:ascii="仿宋_GB2312" w:hAnsi="宋体" w:eastAsia="仿宋_GB2312"/>
          <w:color w:val="000000" w:themeColor="text1"/>
          <w:sz w:val="32"/>
          <w:szCs w:val="32"/>
          <w14:textFill>
            <w14:solidFill>
              <w14:schemeClr w14:val="tx1"/>
            </w14:solidFill>
          </w14:textFill>
        </w:rPr>
        <w:t>服务项目开展情况</w:t>
      </w:r>
      <w:r>
        <w:rPr>
          <w:rFonts w:ascii="仿宋_GB2312" w:hAnsi="宋体" w:eastAsia="仿宋_GB2312"/>
          <w:color w:val="000000" w:themeColor="text1"/>
          <w:sz w:val="32"/>
          <w:szCs w:val="32"/>
          <w14:textFill>
            <w14:solidFill>
              <w14:schemeClr w14:val="tx1"/>
            </w14:solidFill>
          </w14:textFill>
        </w:rPr>
        <w:t>，分析发行人经营业务范围是否与主管部门批准范围一致，是否存在批准范围、时间段与实际经营情况不一致的情形；核查业务与产品分类是否具备合理性，是否能够向投资者提供充分的信息。</w:t>
      </w:r>
      <w:r>
        <w:rPr>
          <w:rFonts w:hint="eastAsia" w:ascii="仿宋_GB2312" w:hAnsi="宋体" w:eastAsia="仿宋_GB2312"/>
          <w:color w:val="000000" w:themeColor="text1"/>
          <w:sz w:val="32"/>
          <w:szCs w:val="32"/>
          <w14:textFill>
            <w14:solidFill>
              <w14:schemeClr w14:val="tx1"/>
            </w14:solidFill>
          </w14:textFill>
        </w:rPr>
        <w:t>通过取得医保局的扣款处罚情况及相关的会计处理方法，核查发行人是否存在重大违法违规情况。</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326" w:name="_Toc76339982"/>
      <w:bookmarkStart w:id="327" w:name="_Toc75646021"/>
      <w:bookmarkStart w:id="328" w:name="_Toc75688202"/>
      <w:bookmarkStart w:id="329" w:name="_Toc75792121"/>
      <w:bookmarkStart w:id="330" w:name="_Toc853335950"/>
      <w:r>
        <w:rPr>
          <w:rFonts w:ascii="仿宋_GB2312" w:hAnsi="宋体" w:eastAsia="仿宋_GB2312"/>
          <w:color w:val="000000" w:themeColor="text1"/>
          <w:sz w:val="32"/>
          <w14:textFill>
            <w14:solidFill>
              <w14:schemeClr w14:val="tx1"/>
            </w14:solidFill>
          </w14:textFill>
        </w:rPr>
        <w:t>第</w:t>
      </w:r>
      <w:r>
        <w:rPr>
          <w:rFonts w:hint="eastAsia" w:ascii="仿宋_GB2312" w:hAnsi="宋体" w:eastAsia="仿宋_GB2312"/>
          <w:color w:val="000000" w:themeColor="text1"/>
          <w:sz w:val="32"/>
          <w14:textFill>
            <w14:solidFill>
              <w14:schemeClr w14:val="tx1"/>
            </w14:solidFill>
          </w14:textFill>
        </w:rPr>
        <w:t>四</w:t>
      </w:r>
      <w:r>
        <w:rPr>
          <w:rFonts w:ascii="仿宋_GB2312" w:hAnsi="宋体" w:eastAsia="仿宋_GB2312"/>
          <w:color w:val="000000" w:themeColor="text1"/>
          <w:sz w:val="32"/>
          <w14:textFill>
            <w14:solidFill>
              <w14:schemeClr w14:val="tx1"/>
            </w14:solidFill>
          </w14:textFill>
        </w:rPr>
        <w:t>章 关于销售情况</w:t>
      </w:r>
      <w:bookmarkEnd w:id="326"/>
      <w:bookmarkEnd w:id="327"/>
      <w:bookmarkEnd w:id="328"/>
      <w:bookmarkEnd w:id="329"/>
      <w:bookmarkEnd w:id="330"/>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4.1 通过收集发行人</w:t>
      </w:r>
      <w:r>
        <w:rPr>
          <w:rFonts w:hint="eastAsia" w:ascii="仿宋_GB2312" w:hAnsi="宋体" w:eastAsia="仿宋_GB2312"/>
          <w:color w:val="000000" w:themeColor="text1"/>
          <w:sz w:val="32"/>
          <w:szCs w:val="32"/>
          <w14:textFill>
            <w14:solidFill>
              <w14:schemeClr w14:val="tx1"/>
            </w14:solidFill>
          </w14:textFill>
        </w:rPr>
        <w:t>（医药企业、医疗器械企业、研发服务企业、医疗服务企业）</w:t>
      </w:r>
      <w:r>
        <w:rPr>
          <w:rFonts w:ascii="仿宋_GB2312" w:hAnsi="宋体" w:eastAsia="仿宋_GB2312"/>
          <w:color w:val="000000" w:themeColor="text1"/>
          <w:sz w:val="32"/>
          <w:szCs w:val="32"/>
          <w14:textFill>
            <w14:solidFill>
              <w14:schemeClr w14:val="tx1"/>
            </w14:solidFill>
          </w14:textFill>
        </w:rPr>
        <w:t>董监高人员、核心技术人员的专业背景、任职背景情况，核查发行人何时及如何进入</w:t>
      </w:r>
      <w:r>
        <w:rPr>
          <w:rFonts w:hint="eastAsia" w:ascii="仿宋_GB2312" w:hAnsi="宋体" w:eastAsia="仿宋_GB2312"/>
          <w:color w:val="000000" w:themeColor="text1"/>
          <w:sz w:val="32"/>
          <w:szCs w:val="32"/>
          <w14:textFill>
            <w14:solidFill>
              <w14:schemeClr w14:val="tx1"/>
            </w14:solidFill>
          </w14:textFill>
        </w:rPr>
        <w:t>当前</w:t>
      </w:r>
      <w:r>
        <w:rPr>
          <w:rFonts w:ascii="仿宋_GB2312" w:hAnsi="宋体" w:eastAsia="仿宋_GB2312"/>
          <w:color w:val="000000" w:themeColor="text1"/>
          <w:sz w:val="32"/>
          <w:szCs w:val="32"/>
          <w14:textFill>
            <w14:solidFill>
              <w14:schemeClr w14:val="tx1"/>
            </w14:solidFill>
          </w14:textFill>
        </w:rPr>
        <w:t>行业</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大客户资源获得方式、与大客户稳定开展业务合作方式，</w:t>
      </w:r>
      <w:r>
        <w:rPr>
          <w:rFonts w:hint="eastAsia" w:ascii="仿宋_GB2312" w:hAnsi="宋体" w:eastAsia="仿宋_GB2312"/>
          <w:color w:val="000000" w:themeColor="text1"/>
          <w:sz w:val="32"/>
          <w:szCs w:val="32"/>
          <w14:textFill>
            <w14:solidFill>
              <w14:schemeClr w14:val="tx1"/>
            </w14:solidFill>
          </w14:textFill>
        </w:rPr>
        <w:t>分析</w:t>
      </w:r>
      <w:r>
        <w:rPr>
          <w:rFonts w:ascii="仿宋_GB2312" w:hAnsi="宋体" w:eastAsia="仿宋_GB2312"/>
          <w:color w:val="000000" w:themeColor="text1"/>
          <w:sz w:val="32"/>
          <w:szCs w:val="32"/>
          <w14:textFill>
            <w14:solidFill>
              <w14:schemeClr w14:val="tx1"/>
            </w14:solidFill>
          </w14:textFill>
        </w:rPr>
        <w:t>发行人</w:t>
      </w:r>
      <w:bookmarkStart w:id="331" w:name="OLE_LINK9"/>
      <w:bookmarkStart w:id="332" w:name="OLE_LINK8"/>
      <w:r>
        <w:rPr>
          <w:rFonts w:ascii="仿宋_GB2312" w:hAnsi="宋体" w:eastAsia="仿宋_GB2312"/>
          <w:color w:val="000000" w:themeColor="text1"/>
          <w:sz w:val="32"/>
          <w:szCs w:val="32"/>
          <w14:textFill>
            <w14:solidFill>
              <w14:schemeClr w14:val="tx1"/>
            </w14:solidFill>
          </w14:textFill>
        </w:rPr>
        <w:t>获客方式</w:t>
      </w:r>
      <w:bookmarkEnd w:id="331"/>
      <w:bookmarkEnd w:id="332"/>
      <w:r>
        <w:rPr>
          <w:rFonts w:ascii="仿宋_GB2312" w:hAnsi="宋体" w:eastAsia="仿宋_GB2312"/>
          <w:color w:val="000000" w:themeColor="text1"/>
          <w:sz w:val="32"/>
          <w:szCs w:val="32"/>
          <w14:textFill>
            <w14:solidFill>
              <w14:schemeClr w14:val="tx1"/>
            </w14:solidFill>
          </w14:textFill>
        </w:rPr>
        <w:t>是否符合行业惯例，</w:t>
      </w:r>
      <w:r>
        <w:rPr>
          <w:rFonts w:hint="eastAsia" w:ascii="仿宋_GB2312" w:hAnsi="宋体" w:eastAsia="仿宋_GB2312"/>
          <w:color w:val="000000" w:themeColor="text1"/>
          <w:sz w:val="32"/>
          <w:szCs w:val="32"/>
          <w14:textFill>
            <w14:solidFill>
              <w14:schemeClr w14:val="tx1"/>
            </w14:solidFill>
          </w14:textFill>
        </w:rPr>
        <w:t>针对客户为国企、事业单位、政府机关类发行人，分析获客方式是</w:t>
      </w:r>
      <w:r>
        <w:rPr>
          <w:rFonts w:ascii="仿宋_GB2312" w:hAnsi="宋体" w:eastAsia="仿宋_GB2312"/>
          <w:color w:val="000000" w:themeColor="text1"/>
          <w:sz w:val="32"/>
          <w:szCs w:val="32"/>
          <w14:textFill>
            <w14:solidFill>
              <w14:schemeClr w14:val="tx1"/>
            </w14:solidFill>
          </w14:textFill>
        </w:rPr>
        <w:t>否通过招投标或直接委托方式获取业务合同；通过函证、实地走访、信息系统核查、查阅合同及交易凭证、管理层访谈等方式，调查经销商销售模式、收入确认政策及会计处理、终端销售实现情况</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通过收集报告期内发行人向前</w:t>
      </w:r>
      <w:r>
        <w:rPr>
          <w:rFonts w:hint="eastAsia" w:ascii="仿宋_GB2312" w:hAnsi="宋体" w:eastAsia="仿宋_GB2312"/>
          <w:color w:val="000000" w:themeColor="text1"/>
          <w:sz w:val="32"/>
          <w:szCs w:val="32"/>
          <w14:textFill>
            <w14:solidFill>
              <w14:schemeClr w14:val="tx1"/>
            </w14:solidFill>
          </w14:textFill>
        </w:rPr>
        <w:t>十</w:t>
      </w:r>
      <w:r>
        <w:rPr>
          <w:rFonts w:ascii="仿宋_GB2312" w:hAnsi="宋体" w:eastAsia="仿宋_GB2312"/>
          <w:color w:val="000000" w:themeColor="text1"/>
          <w:sz w:val="32"/>
          <w:szCs w:val="32"/>
          <w14:textFill>
            <w14:solidFill>
              <w14:schemeClr w14:val="tx1"/>
            </w14:solidFill>
          </w14:textFill>
        </w:rPr>
        <w:t>大客户提供</w:t>
      </w:r>
      <w:r>
        <w:rPr>
          <w:rFonts w:hint="eastAsia" w:ascii="仿宋_GB2312" w:hAnsi="宋体" w:eastAsia="仿宋_GB2312"/>
          <w:color w:val="000000" w:themeColor="text1"/>
          <w:sz w:val="32"/>
          <w:szCs w:val="32"/>
          <w14:textFill>
            <w14:solidFill>
              <w14:schemeClr w14:val="tx1"/>
            </w14:solidFill>
          </w14:textFill>
        </w:rPr>
        <w:t>的产品或服务内容、</w:t>
      </w:r>
      <w:r>
        <w:rPr>
          <w:rFonts w:ascii="仿宋_GB2312" w:hAnsi="宋体" w:eastAsia="仿宋_GB2312"/>
          <w:color w:val="000000" w:themeColor="text1"/>
          <w:sz w:val="32"/>
          <w:szCs w:val="32"/>
          <w14:textFill>
            <w14:solidFill>
              <w14:schemeClr w14:val="tx1"/>
            </w14:solidFill>
          </w14:textFill>
        </w:rPr>
        <w:t>涉及的合同数量、金额及占比，分析是否存在应履行公开招投标程序而未履行的情形；通过了解发行人收入确认时点，分析应收款项的变化趋势与同行业是否一致，合同条款是否存在与收入确认原则违背情况；核查发行人是否存在境外业务，关注境外客户基本情况：包括时间、形式、对象、结论等</w:t>
      </w:r>
      <w:r>
        <w:rPr>
          <w:rFonts w:hint="eastAsia" w:ascii="仿宋_GB2312" w:hAnsi="宋体" w:eastAsia="仿宋_GB2312"/>
          <w:color w:val="000000" w:themeColor="text1"/>
          <w:sz w:val="32"/>
          <w:szCs w:val="32"/>
          <w14:textFill>
            <w14:solidFill>
              <w14:schemeClr w14:val="tx1"/>
            </w14:solidFill>
          </w14:textFill>
        </w:rPr>
        <w:t>；针对医药研发服务企业，通过调查行业内企业定价模式，核查发行人定制化业务定价模式的合理性</w:t>
      </w:r>
      <w:r>
        <w:rPr>
          <w:rFonts w:ascii="仿宋_GB2312" w:hAnsi="宋体" w:eastAsia="仿宋_GB2312"/>
          <w:color w:val="000000" w:themeColor="text1"/>
          <w:sz w:val="32"/>
          <w:szCs w:val="32"/>
          <w14:textFill>
            <w14:solidFill>
              <w14:schemeClr w14:val="tx1"/>
            </w14:solidFill>
          </w14:textFill>
        </w:rPr>
        <w:t>。</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4.2 </w:t>
      </w:r>
      <w:r>
        <w:rPr>
          <w:rFonts w:hint="eastAsia" w:ascii="仿宋_GB2312" w:hAnsi="宋体" w:eastAsia="仿宋_GB2312"/>
          <w:color w:val="000000" w:themeColor="text1"/>
          <w:sz w:val="32"/>
          <w:szCs w:val="32"/>
          <w14:textFill>
            <w14:solidFill>
              <w14:schemeClr w14:val="tx1"/>
            </w14:solidFill>
          </w14:textFill>
        </w:rPr>
        <w:t>针对医药企业与医疗器械企业，</w:t>
      </w:r>
      <w:r>
        <w:rPr>
          <w:rFonts w:ascii="仿宋_GB2312" w:hAnsi="宋体" w:eastAsia="仿宋_GB2312"/>
          <w:color w:val="000000" w:themeColor="text1"/>
          <w:sz w:val="32"/>
          <w:szCs w:val="32"/>
          <w14:textFill>
            <w14:solidFill>
              <w14:schemeClr w14:val="tx1"/>
            </w14:solidFill>
          </w14:textFill>
        </w:rPr>
        <w:t>通过访谈发行人管理层、函证、实地走访销售推广主体等方法，</w:t>
      </w:r>
      <w:r>
        <w:rPr>
          <w:rFonts w:hint="eastAsia" w:ascii="仿宋_GB2312" w:hAnsi="宋体" w:eastAsia="仿宋_GB2312"/>
          <w:color w:val="000000" w:themeColor="text1"/>
          <w:sz w:val="32"/>
          <w:szCs w:val="32"/>
          <w14:textFill>
            <w14:solidFill>
              <w14:schemeClr w14:val="tx1"/>
            </w14:solidFill>
          </w14:textFill>
        </w:rPr>
        <w:t>核查销售推广的主要供应商情况及费用的真实性等；针对医疗服务企业，</w:t>
      </w:r>
      <w:r>
        <w:rPr>
          <w:rFonts w:ascii="仿宋_GB2312" w:hAnsi="宋体" w:eastAsia="仿宋_GB2312"/>
          <w:color w:val="000000" w:themeColor="text1"/>
          <w:sz w:val="32"/>
          <w:szCs w:val="32"/>
          <w14:textFill>
            <w14:solidFill>
              <w14:schemeClr w14:val="tx1"/>
            </w14:solidFill>
          </w14:textFill>
        </w:rPr>
        <w:t>通过访谈发行人管理层、函证、实地走访销售推广主体等方法，</w:t>
      </w:r>
      <w:r>
        <w:rPr>
          <w:rFonts w:hint="eastAsia" w:ascii="仿宋_GB2312" w:hAnsi="宋体" w:eastAsia="仿宋_GB2312"/>
          <w:color w:val="000000" w:themeColor="text1"/>
          <w:sz w:val="32"/>
          <w:szCs w:val="32"/>
          <w14:textFill>
            <w14:solidFill>
              <w14:schemeClr w14:val="tx1"/>
            </w14:solidFill>
          </w14:textFill>
        </w:rPr>
        <w:t>核查主要的获客渠道、获客方式及其合规性等。</w:t>
      </w:r>
    </w:p>
    <w:p>
      <w:pPr>
        <w:ind w:firstLine="640" w:firstLineChars="200"/>
        <w:jc w:val="both"/>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4.3 医疗器械行业常见经销模式，须重点关注核查。</w:t>
      </w:r>
      <w:r>
        <w:rPr>
          <w:rFonts w:hint="eastAsia" w:ascii="仿宋_GB2312" w:hAnsi="宋体" w:eastAsia="仿宋_GB2312"/>
          <w:color w:val="000000" w:themeColor="text1"/>
          <w:sz w:val="32"/>
          <w:szCs w:val="32"/>
          <w14:textFill>
            <w14:solidFill>
              <w14:schemeClr w14:val="tx1"/>
            </w14:solidFill>
          </w14:textFill>
        </w:rPr>
        <w:t>通过</w:t>
      </w:r>
      <w:r>
        <w:rPr>
          <w:rFonts w:ascii="仿宋_GB2312" w:hAnsi="宋体" w:eastAsia="仿宋_GB2312"/>
          <w:color w:val="000000" w:themeColor="text1"/>
          <w:sz w:val="32"/>
          <w:szCs w:val="32"/>
          <w14:textFill>
            <w14:solidFill>
              <w14:schemeClr w14:val="tx1"/>
            </w14:solidFill>
          </w14:textFill>
        </w:rPr>
        <w:t>收集发行人主要客户</w:t>
      </w:r>
      <w:r>
        <w:rPr>
          <w:rFonts w:hint="eastAsia" w:ascii="仿宋_GB2312" w:hAnsi="宋体" w:eastAsia="仿宋_GB2312"/>
          <w:color w:val="000000" w:themeColor="text1"/>
          <w:sz w:val="32"/>
          <w:szCs w:val="32"/>
          <w14:textFill>
            <w14:solidFill>
              <w14:schemeClr w14:val="tx1"/>
            </w14:solidFill>
          </w14:textFill>
        </w:rPr>
        <w:t>（通常应涵盖前十大客户）</w:t>
      </w:r>
      <w:r>
        <w:rPr>
          <w:rFonts w:ascii="仿宋_GB2312" w:hAnsi="宋体" w:eastAsia="仿宋_GB2312"/>
          <w:color w:val="000000" w:themeColor="text1"/>
          <w:sz w:val="32"/>
          <w:szCs w:val="32"/>
          <w14:textFill>
            <w14:solidFill>
              <w14:schemeClr w14:val="tx1"/>
            </w14:solidFill>
          </w14:textFill>
        </w:rPr>
        <w:t>的变动情况，分析新增和减少重要客户的具体原因；通过访谈发行人管理层、查阅合同及交易凭证等方法、调查发行人与主要客户的定价机制、结算模式、退换货政策、退换货产品的处理，分析是否存在购销关系以外的其他商业和利益安排</w:t>
      </w:r>
      <w:r>
        <w:rPr>
          <w:rFonts w:hint="eastAsia" w:ascii="仿宋_GB2312" w:hAnsi="宋体" w:eastAsia="仿宋_GB2312"/>
          <w:color w:val="000000" w:themeColor="text1"/>
          <w:sz w:val="32"/>
          <w:szCs w:val="32"/>
          <w14:textFill>
            <w14:solidFill>
              <w14:schemeClr w14:val="tx1"/>
            </w14:solidFill>
          </w14:textFill>
        </w:rPr>
        <w:t>，分析</w:t>
      </w:r>
      <w:r>
        <w:rPr>
          <w:rFonts w:ascii="仿宋_GB2312" w:hAnsi="宋体" w:eastAsia="仿宋_GB2312"/>
          <w:color w:val="000000" w:themeColor="text1"/>
          <w:sz w:val="32"/>
          <w:szCs w:val="32"/>
          <w14:textFill>
            <w14:solidFill>
              <w14:schemeClr w14:val="tx1"/>
            </w14:solidFill>
          </w14:textFill>
        </w:rPr>
        <w:t>发行人与客户的返利政策是否明确、</w:t>
      </w:r>
      <w:r>
        <w:rPr>
          <w:rFonts w:hint="eastAsia" w:ascii="仿宋_GB2312" w:hAnsi="宋体" w:eastAsia="仿宋_GB2312"/>
          <w:color w:val="000000" w:themeColor="text1"/>
          <w:sz w:val="32"/>
          <w:szCs w:val="32"/>
          <w14:textFill>
            <w14:solidFill>
              <w14:schemeClr w14:val="tx1"/>
            </w14:solidFill>
          </w14:textFill>
        </w:rPr>
        <w:t>返利政策是否具有合理性</w:t>
      </w:r>
      <w:r>
        <w:rPr>
          <w:rFonts w:ascii="仿宋_GB2312" w:hAnsi="宋体" w:eastAsia="仿宋_GB2312"/>
          <w:color w:val="000000" w:themeColor="text1"/>
          <w:sz w:val="32"/>
          <w:szCs w:val="32"/>
          <w14:textFill>
            <w14:solidFill>
              <w14:schemeClr w14:val="tx1"/>
            </w14:solidFill>
          </w14:textFill>
        </w:rPr>
        <w:t>等。通过分析与经销商签订的经销合同，分析商品所有权转移时点及发行人确认收入的时点是否恰当。获取发行人对经销商的遴选、管控机制及措施。核查发行人与经销商的具体合作方式以及在报告期内的变动情况，如物流安排、退换货约定、定价机制（价格管控）、信用账期、折扣、返利、库存管理等。核查报告期内经销商变动情况，关注是否与发行人建立长期合作，是否更换频繁；报告期新增经销商是否具备适配的</w:t>
      </w:r>
      <w:r>
        <w:rPr>
          <w:rFonts w:hint="eastAsia" w:ascii="仿宋_GB2312" w:hAnsi="宋体" w:eastAsia="仿宋_GB2312"/>
          <w:color w:val="000000" w:themeColor="text1"/>
          <w:sz w:val="32"/>
          <w:szCs w:val="32"/>
          <w14:textFill>
            <w14:solidFill>
              <w14:schemeClr w14:val="tx1"/>
            </w14:solidFill>
          </w14:textFill>
        </w:rPr>
        <w:t>注册资本金；</w:t>
      </w:r>
      <w:r>
        <w:rPr>
          <w:rFonts w:ascii="仿宋_GB2312" w:hAnsi="宋体" w:eastAsia="仿宋_GB2312"/>
          <w:color w:val="000000" w:themeColor="text1"/>
          <w:sz w:val="32"/>
          <w:szCs w:val="32"/>
          <w14:textFill>
            <w14:solidFill>
              <w14:schemeClr w14:val="tx1"/>
            </w14:solidFill>
          </w14:textFill>
        </w:rPr>
        <w:t>报告期内退出的经销商是否与发行人存在纠纷；核查经销商与发行人的关联关系；通过走访等形式</w:t>
      </w:r>
      <w:r>
        <w:rPr>
          <w:rFonts w:hint="eastAsia" w:ascii="仿宋_GB2312" w:hAnsi="宋体" w:eastAsia="仿宋_GB2312"/>
          <w:color w:val="000000" w:themeColor="text1"/>
          <w:sz w:val="32"/>
          <w:szCs w:val="32"/>
          <w14:textFill>
            <w14:solidFill>
              <w14:schemeClr w14:val="tx1"/>
            </w14:solidFill>
          </w14:textFill>
        </w:rPr>
        <w:t>抽查</w:t>
      </w:r>
      <w:r>
        <w:rPr>
          <w:rFonts w:ascii="仿宋_GB2312" w:hAnsi="宋体" w:eastAsia="仿宋_GB2312"/>
          <w:color w:val="000000" w:themeColor="text1"/>
          <w:sz w:val="32"/>
          <w:szCs w:val="32"/>
          <w14:textFill>
            <w14:solidFill>
              <w14:schemeClr w14:val="tx1"/>
            </w14:solidFill>
          </w14:textFill>
        </w:rPr>
        <w:t>经销商终端销售的实现情况，其库存量是否与其销售金额匹配，核查经销商是否存在期末大规模退货情况</w:t>
      </w:r>
      <w:r>
        <w:rPr>
          <w:rFonts w:hint="eastAsia" w:ascii="仿宋_GB2312" w:hAnsi="宋体" w:eastAsia="仿宋_GB2312"/>
          <w:color w:val="000000" w:themeColor="text1"/>
          <w:sz w:val="32"/>
          <w:szCs w:val="32"/>
          <w14:textFill>
            <w14:solidFill>
              <w14:schemeClr w14:val="tx1"/>
            </w14:solidFill>
          </w14:textFill>
        </w:rPr>
        <w:t>（当期退货金额超过向该客户销售金额</w:t>
      </w:r>
      <w:r>
        <w:rPr>
          <w:rFonts w:ascii="仿宋_GB2312" w:hAnsi="宋体" w:eastAsia="仿宋_GB2312"/>
          <w:color w:val="000000" w:themeColor="text1"/>
          <w:sz w:val="32"/>
          <w:szCs w:val="32"/>
          <w14:textFill>
            <w14:solidFill>
              <w14:schemeClr w14:val="tx1"/>
            </w14:solidFill>
          </w14:textFill>
        </w:rPr>
        <w:t>5%的，通常应认定为“大规模退货”）。核查发行人是否能获取经</w:t>
      </w:r>
      <w:bookmarkStart w:id="333" w:name="OLE_LINK96"/>
      <w:bookmarkStart w:id="334" w:name="OLE_LINK97"/>
      <w:r>
        <w:rPr>
          <w:rFonts w:ascii="仿宋_GB2312" w:hAnsi="宋体" w:eastAsia="仿宋_GB2312"/>
          <w:color w:val="000000" w:themeColor="text1"/>
          <w:sz w:val="32"/>
          <w:szCs w:val="32"/>
          <w14:textFill>
            <w14:solidFill>
              <w14:schemeClr w14:val="tx1"/>
            </w14:solidFill>
          </w14:textFill>
        </w:rPr>
        <w:t>销商最终销售情况，是否符合行业对于问题产品质量问题</w:t>
      </w:r>
      <w:bookmarkEnd w:id="333"/>
      <w:bookmarkEnd w:id="334"/>
      <w:r>
        <w:rPr>
          <w:rFonts w:ascii="仿宋_GB2312" w:hAnsi="宋体" w:eastAsia="仿宋_GB2312"/>
          <w:color w:val="000000" w:themeColor="text1"/>
          <w:sz w:val="32"/>
          <w:szCs w:val="32"/>
          <w14:textFill>
            <w14:solidFill>
              <w14:schemeClr w14:val="tx1"/>
            </w14:solidFill>
          </w14:textFill>
        </w:rPr>
        <w:t>追溯要求的管理。核查发行人是否需要对经销商的最终医院的医生进行培训以确保其可正确使用发行人产品。</w:t>
      </w:r>
      <w:r>
        <w:rPr>
          <w:rFonts w:hint="eastAsia" w:ascii="仿宋_GB2312" w:hAnsi="宋体" w:eastAsia="仿宋_GB2312"/>
          <w:color w:val="000000" w:themeColor="text1"/>
          <w:sz w:val="32"/>
          <w:szCs w:val="32"/>
          <w14:textFill>
            <w14:solidFill>
              <w14:schemeClr w14:val="tx1"/>
            </w14:solidFill>
          </w14:textFill>
        </w:rPr>
        <w:t>核查经销商及直销客户是否具备资质，</w:t>
      </w:r>
      <w:r>
        <w:rPr>
          <w:rFonts w:ascii="仿宋_GB2312" w:hAnsi="宋体" w:eastAsia="仿宋_GB2312"/>
          <w:color w:val="000000" w:themeColor="text1"/>
          <w:sz w:val="32"/>
          <w:szCs w:val="32"/>
          <w14:textFill>
            <w14:solidFill>
              <w14:schemeClr w14:val="tx1"/>
            </w14:solidFill>
          </w14:textFill>
        </w:rPr>
        <w:t>如发行人同时存在经销及直销模式，则须结合不同地区或客户类型情况，分析采用不同销售模式的原因，分析直销及经销的定价差异、毛利率差异及合理性。</w:t>
      </w:r>
    </w:p>
    <w:p>
      <w:pPr>
        <w:ind w:firstLine="640" w:firstLineChars="200"/>
        <w:jc w:val="both"/>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4.4 </w:t>
      </w:r>
      <w:r>
        <w:rPr>
          <w:rFonts w:hint="eastAsia" w:ascii="仿宋_GB2312" w:hAnsi="宋体" w:eastAsia="仿宋_GB2312"/>
          <w:color w:val="000000" w:themeColor="text1"/>
          <w:sz w:val="32"/>
          <w:szCs w:val="32"/>
          <w14:textFill>
            <w14:solidFill>
              <w14:schemeClr w14:val="tx1"/>
            </w14:solidFill>
          </w14:textFill>
        </w:rPr>
        <w:t>针对医</w:t>
      </w:r>
      <w:r>
        <w:rPr>
          <w:rFonts w:ascii="仿宋_GB2312" w:hAnsi="宋体" w:eastAsia="仿宋_GB2312"/>
          <w:color w:val="000000" w:themeColor="text1"/>
          <w:sz w:val="32"/>
          <w:szCs w:val="32"/>
          <w14:textFill>
            <w14:solidFill>
              <w14:schemeClr w14:val="tx1"/>
            </w14:solidFill>
          </w14:textFill>
        </w:rPr>
        <w:t>疗服务企业</w:t>
      </w:r>
      <w:r>
        <w:rPr>
          <w:rFonts w:hint="eastAsia" w:ascii="仿宋_GB2312" w:hAnsi="宋体" w:eastAsia="仿宋_GB2312"/>
          <w:color w:val="000000" w:themeColor="text1"/>
          <w:sz w:val="32"/>
          <w:szCs w:val="32"/>
          <w14:textFill>
            <w14:solidFill>
              <w14:schemeClr w14:val="tx1"/>
            </w14:solidFill>
          </w14:textFill>
        </w:rPr>
        <w:t>发行人，通过</w:t>
      </w:r>
      <w:r>
        <w:rPr>
          <w:rFonts w:ascii="仿宋_GB2312" w:hAnsi="宋体" w:eastAsia="仿宋_GB2312"/>
          <w:color w:val="000000" w:themeColor="text1"/>
          <w:sz w:val="32"/>
          <w:szCs w:val="32"/>
          <w14:textFill>
            <w14:solidFill>
              <w14:schemeClr w14:val="tx1"/>
            </w14:solidFill>
          </w14:textFill>
        </w:rPr>
        <w:t>查阅发行人的医疗信息化系统</w:t>
      </w:r>
      <w:r>
        <w:rPr>
          <w:rFonts w:hint="eastAsia" w:ascii="仿宋_GB2312" w:hAnsi="宋体" w:eastAsia="仿宋_GB2312"/>
          <w:color w:val="000000" w:themeColor="text1"/>
          <w:sz w:val="32"/>
          <w:szCs w:val="32"/>
          <w14:textFill>
            <w14:solidFill>
              <w14:schemeClr w14:val="tx1"/>
            </w14:solidFill>
          </w14:textFill>
        </w:rPr>
        <w:t>，调取病人明细、日结、月结报表、病例病案系统以及</w:t>
      </w:r>
      <w:r>
        <w:rPr>
          <w:rFonts w:ascii="仿宋_GB2312" w:hAnsi="宋体" w:eastAsia="仿宋_GB2312"/>
          <w:color w:val="000000" w:themeColor="text1"/>
          <w:sz w:val="32"/>
          <w:szCs w:val="32"/>
          <w14:textFill>
            <w14:solidFill>
              <w14:schemeClr w14:val="tx1"/>
            </w14:solidFill>
          </w14:textFill>
        </w:rPr>
        <w:t>Lis及Pacs系统中的检查、检验报告，比对</w:t>
      </w:r>
      <w:r>
        <w:rPr>
          <w:rFonts w:hint="eastAsia" w:ascii="仿宋_GB2312" w:hAnsi="宋体" w:eastAsia="仿宋_GB2312"/>
          <w:color w:val="000000" w:themeColor="text1"/>
          <w:sz w:val="32"/>
          <w:szCs w:val="32"/>
          <w14:textFill>
            <w14:solidFill>
              <w14:schemeClr w14:val="tx1"/>
            </w14:solidFill>
          </w14:textFill>
        </w:rPr>
        <w:t>医保系统数据，抽样访谈客户，前往银行导出</w:t>
      </w:r>
      <w:r>
        <w:rPr>
          <w:rFonts w:ascii="仿宋_GB2312" w:hAnsi="宋体" w:eastAsia="仿宋_GB2312"/>
          <w:color w:val="000000" w:themeColor="text1"/>
          <w:sz w:val="32"/>
          <w:szCs w:val="32"/>
          <w14:textFill>
            <w14:solidFill>
              <w14:schemeClr w14:val="tx1"/>
            </w14:solidFill>
          </w14:textFill>
        </w:rPr>
        <w:t>POS刷卡数据，分析POS刷卡金额、频次是否异常，分析第三方回款情况（如学校学生体检教育局付款，政府公务员等公务人员体检地方财政局付款等），核查业务的真实性与运营数据的合理性，并就异常波动进行分析。如发行人客户主要为个人，通过收集报告期现金收款情况及内控措施，分析发行人是否与同行业可比公司水平存在明显差异。</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335" w:name="_Toc75646022"/>
      <w:bookmarkStart w:id="336" w:name="_Toc76339983"/>
      <w:bookmarkStart w:id="337" w:name="_Toc75688203"/>
      <w:bookmarkStart w:id="338" w:name="_Toc1684636014"/>
      <w:bookmarkStart w:id="339" w:name="_Toc75792122"/>
      <w:r>
        <w:rPr>
          <w:rFonts w:ascii="仿宋_GB2312" w:hAnsi="宋体" w:eastAsia="仿宋_GB2312"/>
          <w:color w:val="000000" w:themeColor="text1"/>
          <w:sz w:val="32"/>
          <w14:textFill>
            <w14:solidFill>
              <w14:schemeClr w14:val="tx1"/>
            </w14:solidFill>
          </w14:textFill>
        </w:rPr>
        <w:t>第</w:t>
      </w:r>
      <w:r>
        <w:rPr>
          <w:rFonts w:hint="eastAsia" w:ascii="仿宋_GB2312" w:hAnsi="宋体" w:eastAsia="仿宋_GB2312"/>
          <w:color w:val="000000" w:themeColor="text1"/>
          <w:sz w:val="32"/>
          <w14:textFill>
            <w14:solidFill>
              <w14:schemeClr w14:val="tx1"/>
            </w14:solidFill>
          </w14:textFill>
        </w:rPr>
        <w:t>五</w:t>
      </w:r>
      <w:r>
        <w:rPr>
          <w:rFonts w:ascii="仿宋_GB2312" w:hAnsi="宋体" w:eastAsia="仿宋_GB2312"/>
          <w:color w:val="000000" w:themeColor="text1"/>
          <w:sz w:val="32"/>
          <w14:textFill>
            <w14:solidFill>
              <w14:schemeClr w14:val="tx1"/>
            </w14:solidFill>
          </w14:textFill>
        </w:rPr>
        <w:t>章 关于采购情况</w:t>
      </w:r>
      <w:bookmarkEnd w:id="335"/>
      <w:bookmarkEnd w:id="336"/>
      <w:bookmarkEnd w:id="337"/>
      <w:bookmarkEnd w:id="338"/>
      <w:bookmarkEnd w:id="339"/>
    </w:p>
    <w:p>
      <w:pPr>
        <w:ind w:firstLine="640" w:firstLineChars="200"/>
        <w:jc w:val="left"/>
        <w:rPr>
          <w:rFonts w:ascii="仿宋_GB2312" w:hAnsi="宋体" w:eastAsia="仿宋_GB2312"/>
          <w:color w:val="000000" w:themeColor="text1"/>
          <w:sz w:val="32"/>
          <w:szCs w:val="32"/>
          <w14:textFill>
            <w14:solidFill>
              <w14:schemeClr w14:val="tx1"/>
            </w14:solidFill>
          </w14:textFill>
        </w:rPr>
      </w:pPr>
      <w:bookmarkStart w:id="340" w:name="OLE_LINK53"/>
      <w:bookmarkStart w:id="341" w:name="OLE_LINK52"/>
      <w:r>
        <w:rPr>
          <w:rFonts w:ascii="仿宋_GB2312" w:hAnsi="宋体" w:eastAsia="仿宋_GB2312"/>
          <w:color w:val="000000" w:themeColor="text1"/>
          <w:sz w:val="32"/>
          <w:szCs w:val="32"/>
          <w14:textFill>
            <w14:solidFill>
              <w14:schemeClr w14:val="tx1"/>
            </w14:solidFill>
          </w14:textFill>
        </w:rPr>
        <w:t>5.1 结合发行人</w:t>
      </w:r>
      <w:r>
        <w:rPr>
          <w:rFonts w:hint="eastAsia" w:ascii="仿宋_GB2312" w:hAnsi="宋体" w:eastAsia="仿宋_GB2312"/>
          <w:color w:val="000000" w:themeColor="text1"/>
          <w:sz w:val="32"/>
          <w:szCs w:val="32"/>
          <w14:textFill>
            <w14:solidFill>
              <w14:schemeClr w14:val="tx1"/>
            </w14:solidFill>
          </w14:textFill>
        </w:rPr>
        <w:t>（医药企业、医疗器械企业、研发服务企业）</w:t>
      </w:r>
      <w:r>
        <w:rPr>
          <w:rFonts w:ascii="仿宋_GB2312" w:hAnsi="宋体" w:eastAsia="仿宋_GB2312"/>
          <w:color w:val="000000" w:themeColor="text1"/>
          <w:sz w:val="32"/>
          <w:szCs w:val="32"/>
          <w14:textFill>
            <w14:solidFill>
              <w14:schemeClr w14:val="tx1"/>
            </w14:solidFill>
          </w14:textFill>
        </w:rPr>
        <w:t>原材料及服务采购，通过管理层/专家访谈、实地走访，调查发行人是否掌握核心生产技术或生产环节，发行人持续经营能力是否依赖于</w:t>
      </w:r>
      <w:r>
        <w:rPr>
          <w:rFonts w:hint="eastAsia" w:ascii="仿宋_GB2312" w:hAnsi="宋体" w:eastAsia="仿宋_GB2312"/>
          <w:color w:val="000000" w:themeColor="text1"/>
          <w:sz w:val="32"/>
          <w:szCs w:val="32"/>
          <w14:textFill>
            <w14:solidFill>
              <w14:schemeClr w14:val="tx1"/>
            </w14:solidFill>
          </w14:textFill>
        </w:rPr>
        <w:t>供</w:t>
      </w:r>
      <w:r>
        <w:rPr>
          <w:rFonts w:ascii="仿宋_GB2312" w:hAnsi="宋体" w:eastAsia="仿宋_GB2312"/>
          <w:color w:val="000000" w:themeColor="text1"/>
          <w:sz w:val="32"/>
          <w:szCs w:val="32"/>
          <w14:textFill>
            <w14:solidFill>
              <w14:schemeClr w14:val="tx1"/>
            </w14:solidFill>
          </w14:textFill>
        </w:rPr>
        <w:t>应商</w:t>
      </w:r>
      <w:r>
        <w:rPr>
          <w:rFonts w:hint="eastAsia" w:ascii="仿宋_GB2312" w:hAnsi="宋体" w:eastAsia="仿宋_GB2312"/>
          <w:color w:val="000000" w:themeColor="text1"/>
          <w:sz w:val="32"/>
          <w:szCs w:val="32"/>
          <w14:textFill>
            <w14:solidFill>
              <w14:schemeClr w14:val="tx1"/>
            </w14:solidFill>
          </w14:textFill>
        </w:rPr>
        <w:t>；梳</w:t>
      </w:r>
      <w:r>
        <w:rPr>
          <w:rFonts w:ascii="仿宋_GB2312" w:hAnsi="宋体" w:eastAsia="仿宋_GB2312"/>
          <w:color w:val="000000" w:themeColor="text1"/>
          <w:sz w:val="32"/>
          <w:szCs w:val="32"/>
          <w14:textFill>
            <w14:solidFill>
              <w14:schemeClr w14:val="tx1"/>
            </w14:solidFill>
          </w14:textFill>
        </w:rPr>
        <w:t>理发行人生产所需要的核心物料，属于自行生产还是外部采购，外部采购为进口供应商还是国内供应商，若为进口供应商，是否受到国际政治经济</w:t>
      </w:r>
      <w:r>
        <w:rPr>
          <w:rFonts w:hint="eastAsia" w:ascii="仿宋_GB2312" w:hAnsi="宋体" w:eastAsia="仿宋_GB2312"/>
          <w:color w:val="000000" w:themeColor="text1"/>
          <w:sz w:val="32"/>
          <w:szCs w:val="32"/>
          <w14:textFill>
            <w14:solidFill>
              <w14:schemeClr w14:val="tx1"/>
            </w14:solidFill>
          </w14:textFill>
        </w:rPr>
        <w:t>局势</w:t>
      </w:r>
      <w:r>
        <w:rPr>
          <w:rFonts w:ascii="仿宋_GB2312" w:hAnsi="宋体" w:eastAsia="仿宋_GB2312"/>
          <w:color w:val="000000" w:themeColor="text1"/>
          <w:sz w:val="32"/>
          <w:szCs w:val="32"/>
          <w14:textFill>
            <w14:solidFill>
              <w14:schemeClr w14:val="tx1"/>
            </w14:solidFill>
          </w14:textFill>
        </w:rPr>
        <w:t>动荡的影响；核心物料的供应商是否存在稀缺性，是否有备选供应商。核查发行人是否存在采购推广服务情况，分析采购推广服务的原因、主要服务商情况。</w:t>
      </w:r>
      <w:bookmarkEnd w:id="340"/>
      <w:bookmarkEnd w:id="341"/>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5.2 通过管理层/专家访谈、实地走访，核查发行人</w:t>
      </w:r>
      <w:r>
        <w:rPr>
          <w:rFonts w:hint="eastAsia" w:ascii="仿宋_GB2312" w:hAnsi="宋体" w:eastAsia="仿宋_GB2312"/>
          <w:color w:val="000000" w:themeColor="text1"/>
          <w:sz w:val="32"/>
          <w:szCs w:val="32"/>
          <w14:textFill>
            <w14:solidFill>
              <w14:schemeClr w14:val="tx1"/>
            </w14:solidFill>
          </w14:textFill>
        </w:rPr>
        <w:t>（医药企业、医疗器械企业、研发服务企业）</w:t>
      </w:r>
      <w:r>
        <w:rPr>
          <w:rFonts w:ascii="仿宋_GB2312" w:hAnsi="宋体" w:eastAsia="仿宋_GB2312"/>
          <w:color w:val="000000" w:themeColor="text1"/>
          <w:sz w:val="32"/>
          <w:szCs w:val="32"/>
          <w14:textFill>
            <w14:solidFill>
              <w14:schemeClr w14:val="tx1"/>
            </w14:solidFill>
          </w14:textFill>
        </w:rPr>
        <w:t>采购临床试验专业服务的提供商是否合法持有开展业务所需全部资质及证照，是否完整覆盖其主营业务及经营时间</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分析与供应商签署合同的主要条款，包括服务内容</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定价依据</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结算方式和成果交付等，是否与发行人在研产品的研究进展相匹配，是否存在通过服务供应商进行商业贿赂等违规费用支付的情况</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调查发行人对供应商的筛选和管理，对核心物料及研发服务的采购，是否可有效保证合规性及药品研发要求</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是否建立</w:t>
      </w:r>
      <w:r>
        <w:rPr>
          <w:rFonts w:hint="eastAsia" w:ascii="仿宋_GB2312" w:hAnsi="宋体" w:eastAsia="仿宋_GB2312"/>
          <w:color w:val="000000" w:themeColor="text1"/>
          <w:sz w:val="32"/>
          <w:szCs w:val="32"/>
          <w14:textFill>
            <w14:solidFill>
              <w14:schemeClr w14:val="tx1"/>
            </w14:solidFill>
          </w14:textFill>
        </w:rPr>
        <w:t>了</w:t>
      </w:r>
      <w:r>
        <w:rPr>
          <w:rFonts w:ascii="仿宋_GB2312" w:hAnsi="宋体" w:eastAsia="仿宋_GB2312"/>
          <w:color w:val="000000" w:themeColor="text1"/>
          <w:sz w:val="32"/>
          <w:szCs w:val="32"/>
          <w14:textFill>
            <w14:solidFill>
              <w14:schemeClr w14:val="tx1"/>
            </w14:solidFill>
          </w14:textFill>
        </w:rPr>
        <w:t>内部控制措施，相应措施的执行情况；核查发行人采购内容，根据不同采购类型关注发行人是否存在外协采购，关注是否存在供应商依赖；核查发行人成本构成情况。</w:t>
      </w:r>
    </w:p>
    <w:p>
      <w:pPr>
        <w:ind w:firstLine="640" w:firstLineChars="200"/>
        <w:jc w:val="both"/>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5.3 </w:t>
      </w:r>
      <w:r>
        <w:rPr>
          <w:rFonts w:hint="eastAsia" w:ascii="仿宋_GB2312" w:hAnsi="宋体" w:eastAsia="仿宋_GB2312"/>
          <w:color w:val="000000" w:themeColor="text1"/>
          <w:sz w:val="32"/>
          <w:szCs w:val="32"/>
          <w14:textFill>
            <w14:solidFill>
              <w14:schemeClr w14:val="tx1"/>
            </w14:solidFill>
          </w14:textFill>
        </w:rPr>
        <w:t>针对</w:t>
      </w:r>
      <w:r>
        <w:rPr>
          <w:rFonts w:ascii="仿宋_GB2312" w:hAnsi="宋体" w:eastAsia="仿宋_GB2312"/>
          <w:color w:val="000000" w:themeColor="text1"/>
          <w:sz w:val="32"/>
          <w:szCs w:val="32"/>
          <w14:textFill>
            <w14:solidFill>
              <w14:schemeClr w14:val="tx1"/>
            </w14:solidFill>
          </w14:textFill>
        </w:rPr>
        <w:t>医疗服务企业</w:t>
      </w:r>
      <w:r>
        <w:rPr>
          <w:rFonts w:hint="eastAsia" w:ascii="仿宋_GB2312" w:hAnsi="宋体" w:eastAsia="仿宋_GB2312"/>
          <w:color w:val="000000" w:themeColor="text1"/>
          <w:sz w:val="32"/>
          <w:szCs w:val="32"/>
          <w14:textFill>
            <w14:solidFill>
              <w14:schemeClr w14:val="tx1"/>
            </w14:solidFill>
          </w14:textFill>
        </w:rPr>
        <w:t>发行人，通过</w:t>
      </w:r>
      <w:r>
        <w:rPr>
          <w:rFonts w:ascii="仿宋_GB2312" w:hAnsi="宋体" w:eastAsia="仿宋_GB2312"/>
          <w:color w:val="000000" w:themeColor="text1"/>
          <w:sz w:val="32"/>
          <w:szCs w:val="32"/>
          <w14:textFill>
            <w14:solidFill>
              <w14:schemeClr w14:val="tx1"/>
            </w14:solidFill>
          </w14:textFill>
        </w:rPr>
        <w:t>查阅国家及行业相关法律法规</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了解发行人的采购定价机制</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对比同行业可比公司</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分析发行人采购定价机制的合理性；通过查阅发行人</w:t>
      </w:r>
      <w:r>
        <w:rPr>
          <w:rFonts w:hint="eastAsia" w:ascii="仿宋_GB2312" w:hAnsi="宋体" w:eastAsia="仿宋_GB2312"/>
          <w:color w:val="000000" w:themeColor="text1"/>
          <w:sz w:val="32"/>
          <w:szCs w:val="32"/>
          <w14:textFill>
            <w14:solidFill>
              <w14:schemeClr w14:val="tx1"/>
            </w14:solidFill>
          </w14:textFill>
        </w:rPr>
        <w:t>返利政策、</w:t>
      </w:r>
      <w:r>
        <w:rPr>
          <w:rFonts w:ascii="仿宋_GB2312" w:hAnsi="宋体" w:eastAsia="仿宋_GB2312"/>
          <w:color w:val="000000" w:themeColor="text1"/>
          <w:sz w:val="32"/>
          <w:szCs w:val="32"/>
          <w14:textFill>
            <w14:solidFill>
              <w14:schemeClr w14:val="tx1"/>
            </w14:solidFill>
          </w14:textFill>
        </w:rPr>
        <w:t>采购明细、银行账户、访谈供应商等方式，核查采购返利的类型、金额</w:t>
      </w:r>
      <w:r>
        <w:rPr>
          <w:rFonts w:hint="eastAsia" w:ascii="仿宋_GB2312" w:hAnsi="宋体" w:eastAsia="仿宋_GB2312"/>
          <w:color w:val="000000" w:themeColor="text1"/>
          <w:sz w:val="32"/>
          <w:szCs w:val="32"/>
          <w14:textFill>
            <w14:solidFill>
              <w14:schemeClr w14:val="tx1"/>
            </w14:solidFill>
          </w14:textFill>
        </w:rPr>
        <w:t>、返利政策与同行业公司是否存在重大差异及合理性</w:t>
      </w:r>
      <w:r>
        <w:rPr>
          <w:rFonts w:ascii="仿宋_GB2312" w:hAnsi="宋体" w:eastAsia="仿宋_GB2312"/>
          <w:color w:val="000000" w:themeColor="text1"/>
          <w:sz w:val="32"/>
          <w:szCs w:val="32"/>
          <w14:textFill>
            <w14:solidFill>
              <w14:schemeClr w14:val="tx1"/>
            </w14:solidFill>
          </w14:textFill>
        </w:rPr>
        <w:t>，以及采购返利的会计处理方式是否符合《企业会计准则》的规定；针对主要供应商为经销商或贸易商的情形，</w:t>
      </w:r>
      <w:r>
        <w:rPr>
          <w:rFonts w:hint="eastAsia" w:ascii="仿宋_GB2312" w:hAnsi="宋体" w:eastAsia="仿宋_GB2312"/>
          <w:color w:val="000000" w:themeColor="text1"/>
          <w:sz w:val="32"/>
          <w:szCs w:val="32"/>
          <w14:textFill>
            <w14:solidFill>
              <w14:schemeClr w14:val="tx1"/>
            </w14:solidFill>
          </w14:textFill>
        </w:rPr>
        <w:t>核查</w:t>
      </w:r>
      <w:r>
        <w:rPr>
          <w:rFonts w:ascii="仿宋_GB2312" w:hAnsi="宋体" w:eastAsia="仿宋_GB2312"/>
          <w:color w:val="000000" w:themeColor="text1"/>
          <w:sz w:val="32"/>
          <w:szCs w:val="32"/>
          <w14:textFill>
            <w14:solidFill>
              <w14:schemeClr w14:val="tx1"/>
            </w14:solidFill>
          </w14:textFill>
        </w:rPr>
        <w:t>供应商资质、采购价格波动情况、与发行人的关联关系等方式。</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342" w:name="_Toc75792123"/>
      <w:bookmarkStart w:id="343" w:name="_Toc1565324595"/>
      <w:bookmarkStart w:id="344" w:name="_Toc75646023"/>
      <w:bookmarkStart w:id="345" w:name="_Toc76339984"/>
      <w:bookmarkStart w:id="346" w:name="_Toc75688204"/>
      <w:r>
        <w:rPr>
          <w:rFonts w:ascii="仿宋_GB2312" w:hAnsi="宋体" w:eastAsia="仿宋_GB2312"/>
          <w:color w:val="000000" w:themeColor="text1"/>
          <w:sz w:val="32"/>
          <w14:textFill>
            <w14:solidFill>
              <w14:schemeClr w14:val="tx1"/>
            </w14:solidFill>
          </w14:textFill>
        </w:rPr>
        <w:t>第</w:t>
      </w:r>
      <w:r>
        <w:rPr>
          <w:rFonts w:hint="eastAsia" w:ascii="仿宋_GB2312" w:hAnsi="宋体" w:eastAsia="仿宋_GB2312"/>
          <w:color w:val="000000" w:themeColor="text1"/>
          <w:sz w:val="32"/>
          <w14:textFill>
            <w14:solidFill>
              <w14:schemeClr w14:val="tx1"/>
            </w14:solidFill>
          </w14:textFill>
        </w:rPr>
        <w:t>六</w:t>
      </w:r>
      <w:r>
        <w:rPr>
          <w:rFonts w:ascii="仿宋_GB2312" w:hAnsi="宋体" w:eastAsia="仿宋_GB2312"/>
          <w:color w:val="000000" w:themeColor="text1"/>
          <w:sz w:val="32"/>
          <w14:textFill>
            <w14:solidFill>
              <w14:schemeClr w14:val="tx1"/>
            </w14:solidFill>
          </w14:textFill>
        </w:rPr>
        <w:t>章 关于生产情况（经营情况）</w:t>
      </w:r>
      <w:bookmarkEnd w:id="342"/>
      <w:bookmarkEnd w:id="343"/>
      <w:bookmarkEnd w:id="344"/>
      <w:bookmarkEnd w:id="345"/>
      <w:bookmarkEnd w:id="346"/>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6.1 通过实地走访、查阅相关协议、与相关主体进行访谈等方式，核查发行人</w:t>
      </w:r>
      <w:r>
        <w:rPr>
          <w:rFonts w:hint="eastAsia" w:ascii="仿宋_GB2312" w:hAnsi="宋体" w:eastAsia="仿宋_GB2312"/>
          <w:color w:val="000000" w:themeColor="text1"/>
          <w:sz w:val="32"/>
          <w:szCs w:val="32"/>
          <w14:textFill>
            <w14:solidFill>
              <w14:schemeClr w14:val="tx1"/>
            </w14:solidFill>
          </w14:textFill>
        </w:rPr>
        <w:t>（医药企业、医疗器械企业、研发服务企业、医疗服务企业）</w:t>
      </w:r>
      <w:r>
        <w:rPr>
          <w:rFonts w:ascii="仿宋_GB2312" w:hAnsi="宋体" w:eastAsia="仿宋_GB2312"/>
          <w:color w:val="000000" w:themeColor="text1"/>
          <w:sz w:val="32"/>
          <w:szCs w:val="32"/>
          <w14:textFill>
            <w14:solidFill>
              <w14:schemeClr w14:val="tx1"/>
            </w14:solidFill>
          </w14:textFill>
        </w:rPr>
        <w:t>生产经营物业的租赁情况及其真实性及合规性。</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6.2 </w:t>
      </w:r>
      <w:r>
        <w:rPr>
          <w:rFonts w:hint="eastAsia" w:ascii="仿宋_GB2312" w:hAnsi="宋体" w:eastAsia="仿宋_GB2312"/>
          <w:color w:val="000000" w:themeColor="text1"/>
          <w:sz w:val="32"/>
          <w:szCs w:val="32"/>
          <w14:textFill>
            <w14:solidFill>
              <w14:schemeClr w14:val="tx1"/>
            </w14:solidFill>
          </w14:textFill>
        </w:rPr>
        <w:t>通过</w:t>
      </w:r>
      <w:r>
        <w:rPr>
          <w:rFonts w:ascii="仿宋_GB2312" w:hAnsi="宋体" w:eastAsia="仿宋_GB2312"/>
          <w:color w:val="000000" w:themeColor="text1"/>
          <w:sz w:val="32"/>
          <w:szCs w:val="32"/>
          <w14:textFill>
            <w14:solidFill>
              <w14:schemeClr w14:val="tx1"/>
            </w14:solidFill>
          </w14:textFill>
        </w:rPr>
        <w:t>了解发行人</w:t>
      </w:r>
      <w:r>
        <w:rPr>
          <w:rFonts w:hint="eastAsia" w:ascii="仿宋_GB2312" w:hAnsi="宋体" w:eastAsia="仿宋_GB2312"/>
          <w:color w:val="000000" w:themeColor="text1"/>
          <w:sz w:val="32"/>
          <w:szCs w:val="32"/>
          <w14:textFill>
            <w14:solidFill>
              <w14:schemeClr w14:val="tx1"/>
            </w14:solidFill>
          </w14:textFill>
        </w:rPr>
        <w:t>（医药企业、医疗器械企业、研发服务企业）</w:t>
      </w:r>
      <w:r>
        <w:rPr>
          <w:rFonts w:ascii="仿宋_GB2312" w:hAnsi="宋体" w:eastAsia="仿宋_GB2312"/>
          <w:color w:val="000000" w:themeColor="text1"/>
          <w:sz w:val="32"/>
          <w:szCs w:val="32"/>
          <w14:textFill>
            <w14:solidFill>
              <w14:schemeClr w14:val="tx1"/>
            </w14:solidFill>
          </w14:textFill>
        </w:rPr>
        <w:t>的生产工艺流程、生产资质要求，分析评价发行人生产工艺、技术在行业中的领先程度；</w:t>
      </w:r>
      <w:r>
        <w:rPr>
          <w:rFonts w:hint="eastAsia" w:ascii="仿宋_GB2312" w:hAnsi="宋体" w:eastAsia="仿宋_GB2312"/>
          <w:color w:val="000000" w:themeColor="text1"/>
          <w:sz w:val="32"/>
          <w:szCs w:val="32"/>
          <w14:textFill>
            <w14:solidFill>
              <w14:schemeClr w14:val="tx1"/>
            </w14:solidFill>
          </w14:textFill>
        </w:rPr>
        <w:t>通过</w:t>
      </w:r>
      <w:r>
        <w:rPr>
          <w:rFonts w:ascii="仿宋_GB2312" w:hAnsi="宋体" w:eastAsia="仿宋_GB2312"/>
          <w:color w:val="000000" w:themeColor="text1"/>
          <w:sz w:val="32"/>
          <w:szCs w:val="32"/>
          <w14:textFill>
            <w14:solidFill>
              <w14:schemeClr w14:val="tx1"/>
            </w14:solidFill>
          </w14:textFill>
        </w:rPr>
        <w:t>取得发行人经营所需的全部资质，查询发行人所在行业是否存在强制性标准或行业标准、发行人日常接受主管部门监督的情况、飞行检查情况，</w:t>
      </w:r>
      <w:r>
        <w:rPr>
          <w:rFonts w:hint="eastAsia" w:ascii="仿宋_GB2312" w:hAnsi="宋体" w:eastAsia="仿宋_GB2312"/>
          <w:color w:val="000000" w:themeColor="text1"/>
          <w:sz w:val="32"/>
          <w:szCs w:val="32"/>
          <w14:textFill>
            <w14:solidFill>
              <w14:schemeClr w14:val="tx1"/>
            </w14:solidFill>
          </w14:textFill>
        </w:rPr>
        <w:t>分析发行人业务与产品是否符合相关标准的规定</w:t>
      </w:r>
      <w:r>
        <w:rPr>
          <w:rFonts w:ascii="仿宋_GB2312" w:hAnsi="宋体" w:eastAsia="仿宋_GB2312"/>
          <w:color w:val="000000" w:themeColor="text1"/>
          <w:sz w:val="32"/>
          <w:szCs w:val="32"/>
          <w14:textFill>
            <w14:solidFill>
              <w14:schemeClr w14:val="tx1"/>
            </w14:solidFill>
          </w14:textFill>
        </w:rPr>
        <w:t>；了解发行人的核心生产工艺是否存在外协加工的情况，是否属于行业惯例，发行人对外协供应商的管控措施及实施情况等。</w:t>
      </w:r>
    </w:p>
    <w:p>
      <w:pPr>
        <w:ind w:firstLine="640" w:firstLineChars="200"/>
        <w:jc w:val="both"/>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6.3 </w:t>
      </w:r>
      <w:r>
        <w:rPr>
          <w:rFonts w:hint="eastAsia" w:ascii="仿宋_GB2312" w:hAnsi="宋体" w:eastAsia="仿宋_GB2312"/>
          <w:color w:val="000000" w:themeColor="text1"/>
          <w:sz w:val="32"/>
          <w:szCs w:val="32"/>
          <w14:textFill>
            <w14:solidFill>
              <w14:schemeClr w14:val="tx1"/>
            </w14:solidFill>
          </w14:textFill>
        </w:rPr>
        <w:t>针对医药企业、研发服务企业</w:t>
      </w:r>
      <w:r>
        <w:rPr>
          <w:rFonts w:ascii="仿宋_GB2312" w:hAnsi="宋体" w:eastAsia="仿宋_GB2312"/>
          <w:color w:val="000000" w:themeColor="text1"/>
          <w:sz w:val="32"/>
          <w:szCs w:val="32"/>
          <w14:textFill>
            <w14:solidFill>
              <w14:schemeClr w14:val="tx1"/>
            </w14:solidFill>
          </w14:textFill>
        </w:rPr>
        <w:t>发行人</w:t>
      </w:r>
      <w:r>
        <w:rPr>
          <w:rFonts w:hint="eastAsia" w:ascii="仿宋_GB2312" w:hAnsi="宋体" w:eastAsia="仿宋_GB2312"/>
          <w:color w:val="000000" w:themeColor="text1"/>
          <w:sz w:val="32"/>
          <w:szCs w:val="32"/>
          <w14:textFill>
            <w14:solidFill>
              <w14:schemeClr w14:val="tx1"/>
            </w14:solidFill>
          </w14:textFill>
        </w:rPr>
        <w:t>，通过</w:t>
      </w:r>
      <w:r>
        <w:rPr>
          <w:rFonts w:ascii="仿宋_GB2312" w:hAnsi="宋体" w:eastAsia="仿宋_GB2312"/>
          <w:color w:val="000000" w:themeColor="text1"/>
          <w:sz w:val="32"/>
          <w:szCs w:val="32"/>
          <w14:textFill>
            <w14:solidFill>
              <w14:schemeClr w14:val="tx1"/>
            </w14:solidFill>
          </w14:textFill>
        </w:rPr>
        <w:t>了解发行人从事业务是否需要特定资质，核查临床试验运营服务的业务实质</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具体服务内容</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服务流程，分析发行人开展业务与特定资质取得的时间匹配情况、</w:t>
      </w:r>
      <w:r>
        <w:rPr>
          <w:rFonts w:hint="eastAsia" w:ascii="仿宋_GB2312" w:hAnsi="宋体" w:eastAsia="仿宋_GB2312"/>
          <w:color w:val="000000" w:themeColor="text1"/>
          <w:sz w:val="32"/>
          <w:szCs w:val="32"/>
          <w14:textFill>
            <w14:solidFill>
              <w14:schemeClr w14:val="tx1"/>
            </w14:solidFill>
          </w14:textFill>
        </w:rPr>
        <w:t>临床</w:t>
      </w:r>
      <w:r>
        <w:rPr>
          <w:rFonts w:ascii="仿宋_GB2312" w:hAnsi="宋体" w:eastAsia="仿宋_GB2312"/>
          <w:color w:val="000000" w:themeColor="text1"/>
          <w:sz w:val="32"/>
          <w:szCs w:val="32"/>
          <w14:textFill>
            <w14:solidFill>
              <w14:schemeClr w14:val="tx1"/>
            </w14:solidFill>
          </w14:textFill>
        </w:rPr>
        <w:t>试验服务之间是否属于包含或并列关系；关注在同一药品申报审批过程中，临床试验运营服务的重要性，是否属于该流程中不可替代的环节；分析发行人向客户提供的临床试验运营服务是否均包含了向医疗机构采购临床试验的费用</w:t>
      </w:r>
      <w:r>
        <w:rPr>
          <w:rFonts w:hint="eastAsia" w:ascii="仿宋_GB2312" w:hAnsi="宋体" w:eastAsia="仿宋_GB2312"/>
          <w:color w:val="000000" w:themeColor="text1"/>
          <w:sz w:val="32"/>
          <w:szCs w:val="32"/>
          <w14:textFill>
            <w14:solidFill>
              <w14:schemeClr w14:val="tx1"/>
            </w14:solidFill>
          </w14:textFill>
        </w:rPr>
        <w:t>；核查在</w:t>
      </w:r>
      <w:r>
        <w:rPr>
          <w:rFonts w:ascii="仿宋_GB2312" w:hAnsi="宋体" w:eastAsia="仿宋_GB2312"/>
          <w:color w:val="000000" w:themeColor="text1"/>
          <w:sz w:val="32"/>
          <w:szCs w:val="32"/>
          <w14:textFill>
            <w14:solidFill>
              <w14:schemeClr w14:val="tx1"/>
            </w14:solidFill>
          </w14:textFill>
        </w:rPr>
        <w:t>医药研发过程中</w:t>
      </w:r>
      <w:r>
        <w:rPr>
          <w:rFonts w:hint="eastAsia" w:ascii="仿宋_GB2312" w:hAnsi="宋体" w:eastAsia="仿宋_GB2312"/>
          <w:color w:val="000000" w:themeColor="text1"/>
          <w:sz w:val="32"/>
          <w:szCs w:val="32"/>
          <w14:textFill>
            <w14:solidFill>
              <w14:schemeClr w14:val="tx1"/>
            </w14:solidFill>
          </w14:textFill>
        </w:rPr>
        <w:t>是否</w:t>
      </w:r>
      <w:r>
        <w:rPr>
          <w:rFonts w:ascii="仿宋_GB2312" w:hAnsi="宋体" w:eastAsia="仿宋_GB2312"/>
          <w:color w:val="000000" w:themeColor="text1"/>
          <w:sz w:val="32"/>
          <w:szCs w:val="32"/>
          <w14:textFill>
            <w14:solidFill>
              <w14:schemeClr w14:val="tx1"/>
            </w14:solidFill>
          </w14:textFill>
        </w:rPr>
        <w:t>出现临床研发事故、医药纠纷</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或者受到行政处罚</w:t>
      </w:r>
      <w:r>
        <w:rPr>
          <w:rFonts w:hint="eastAsia" w:ascii="仿宋_GB2312" w:hAnsi="宋体" w:eastAsia="仿宋_GB2312"/>
          <w:color w:val="000000" w:themeColor="text1"/>
          <w:sz w:val="32"/>
          <w:szCs w:val="32"/>
          <w14:textFill>
            <w14:solidFill>
              <w14:schemeClr w14:val="tx1"/>
            </w14:solidFill>
          </w14:textFill>
        </w:rPr>
        <w:t>等情况</w:t>
      </w:r>
      <w:r>
        <w:rPr>
          <w:rFonts w:ascii="仿宋_GB2312" w:hAnsi="宋体" w:eastAsia="仿宋_GB2312"/>
          <w:color w:val="000000" w:themeColor="text1"/>
          <w:sz w:val="32"/>
          <w:szCs w:val="32"/>
          <w14:textFill>
            <w14:solidFill>
              <w14:schemeClr w14:val="tx1"/>
            </w14:solidFill>
          </w14:textFill>
        </w:rPr>
        <w:t>，核查发行人</w:t>
      </w:r>
      <w:r>
        <w:rPr>
          <w:rFonts w:hint="eastAsia" w:ascii="仿宋_GB2312" w:hAnsi="宋体" w:eastAsia="仿宋_GB2312"/>
          <w:color w:val="000000" w:themeColor="text1"/>
          <w:sz w:val="32"/>
          <w:szCs w:val="32"/>
          <w14:textFill>
            <w14:solidFill>
              <w14:schemeClr w14:val="tx1"/>
            </w14:solidFill>
          </w14:textFill>
        </w:rPr>
        <w:t>的风险隔离措施、</w:t>
      </w:r>
      <w:r>
        <w:rPr>
          <w:rFonts w:ascii="仿宋_GB2312" w:hAnsi="宋体" w:eastAsia="仿宋_GB2312"/>
          <w:color w:val="000000" w:themeColor="text1"/>
          <w:sz w:val="32"/>
          <w:szCs w:val="32"/>
          <w14:textFill>
            <w14:solidFill>
              <w14:schemeClr w14:val="tx1"/>
            </w14:solidFill>
          </w14:textFill>
        </w:rPr>
        <w:t>与客户签署的</w:t>
      </w:r>
      <w:r>
        <w:rPr>
          <w:rFonts w:hint="eastAsia" w:ascii="仿宋_GB2312" w:hAnsi="宋体" w:eastAsia="仿宋_GB2312"/>
          <w:color w:val="000000" w:themeColor="text1"/>
          <w:sz w:val="32"/>
          <w:szCs w:val="32"/>
          <w14:textFill>
            <w14:solidFill>
              <w14:schemeClr w14:val="tx1"/>
            </w14:solidFill>
          </w14:textFill>
        </w:rPr>
        <w:t>关于赔偿的合同约定</w:t>
      </w:r>
      <w:r>
        <w:rPr>
          <w:rFonts w:ascii="仿宋_GB2312" w:hAnsi="宋体" w:eastAsia="仿宋_GB2312"/>
          <w:color w:val="000000" w:themeColor="text1"/>
          <w:sz w:val="32"/>
          <w:szCs w:val="32"/>
          <w14:textFill>
            <w14:solidFill>
              <w14:schemeClr w14:val="tx1"/>
            </w14:solidFill>
          </w14:textFill>
        </w:rPr>
        <w:t>情况</w:t>
      </w:r>
      <w:r>
        <w:rPr>
          <w:rFonts w:hint="eastAsia" w:ascii="仿宋_GB2312" w:hAnsi="宋体" w:eastAsia="仿宋_GB2312"/>
          <w:color w:val="000000" w:themeColor="text1"/>
          <w:sz w:val="32"/>
          <w:szCs w:val="32"/>
          <w14:textFill>
            <w14:solidFill>
              <w14:schemeClr w14:val="tx1"/>
            </w14:solidFill>
          </w14:textFill>
        </w:rPr>
        <w:t>，分析</w:t>
      </w:r>
      <w:r>
        <w:rPr>
          <w:rFonts w:ascii="仿宋_GB2312" w:hAnsi="宋体" w:eastAsia="仿宋_GB2312"/>
          <w:color w:val="000000" w:themeColor="text1"/>
          <w:sz w:val="32"/>
          <w:szCs w:val="32"/>
          <w14:textFill>
            <w14:solidFill>
              <w14:schemeClr w14:val="tx1"/>
            </w14:solidFill>
          </w14:textFill>
        </w:rPr>
        <w:t>上述情况发生时，发行人是否面临民事赔偿责任、行政处罚或刑事责任，发行人是否存在向客户或第三方赔偿的风险，</w:t>
      </w:r>
      <w:r>
        <w:rPr>
          <w:rFonts w:hint="eastAsia" w:ascii="仿宋_GB2312" w:hAnsi="宋体" w:eastAsia="仿宋_GB2312"/>
          <w:color w:val="000000" w:themeColor="text1"/>
          <w:sz w:val="32"/>
          <w:szCs w:val="32"/>
          <w14:textFill>
            <w14:solidFill>
              <w14:schemeClr w14:val="tx1"/>
            </w14:solidFill>
          </w14:textFill>
        </w:rPr>
        <w:t>是否披</w:t>
      </w:r>
      <w:r>
        <w:rPr>
          <w:rFonts w:ascii="仿宋_GB2312" w:hAnsi="宋体" w:eastAsia="仿宋_GB2312"/>
          <w:color w:val="000000" w:themeColor="text1"/>
          <w:sz w:val="32"/>
          <w:szCs w:val="32"/>
          <w14:textFill>
            <w14:solidFill>
              <w14:schemeClr w14:val="tx1"/>
            </w14:solidFill>
          </w14:textFill>
        </w:rPr>
        <w:t>露经营风险。</w:t>
      </w:r>
    </w:p>
    <w:p>
      <w:pPr>
        <w:pStyle w:val="33"/>
        <w:spacing w:line="360" w:lineRule="auto"/>
        <w:outlineLvl w:val="9"/>
        <w:rPr>
          <w:rFonts w:ascii="仿宋_GB2312" w:hAnsi="宋体" w:eastAsia="仿宋_GB2312"/>
          <w:color w:val="000000" w:themeColor="text1"/>
          <w:sz w:val="32"/>
          <w14:textFill>
            <w14:solidFill>
              <w14:schemeClr w14:val="tx1"/>
            </w14:solidFill>
          </w14:textFill>
        </w:rPr>
      </w:pPr>
      <w:bookmarkStart w:id="347" w:name="_Toc323060524"/>
      <w:bookmarkStart w:id="348" w:name="_Toc75792124"/>
      <w:bookmarkStart w:id="349" w:name="_Toc75646024"/>
      <w:bookmarkStart w:id="350" w:name="_Toc76339985"/>
      <w:r>
        <w:rPr>
          <w:rFonts w:ascii="仿宋_GB2312" w:hAnsi="宋体" w:eastAsia="仿宋_GB2312"/>
          <w:color w:val="000000" w:themeColor="text1"/>
          <w:sz w:val="32"/>
          <w14:textFill>
            <w14:solidFill>
              <w14:schemeClr w14:val="tx1"/>
            </w14:solidFill>
          </w14:textFill>
        </w:rPr>
        <w:t>第</w:t>
      </w:r>
      <w:r>
        <w:rPr>
          <w:rFonts w:hint="eastAsia" w:ascii="仿宋_GB2312" w:hAnsi="宋体" w:eastAsia="仿宋_GB2312"/>
          <w:color w:val="000000" w:themeColor="text1"/>
          <w:sz w:val="32"/>
          <w14:textFill>
            <w14:solidFill>
              <w14:schemeClr w14:val="tx1"/>
            </w14:solidFill>
          </w14:textFill>
        </w:rPr>
        <w:t>七</w:t>
      </w:r>
      <w:r>
        <w:rPr>
          <w:rFonts w:ascii="仿宋_GB2312" w:hAnsi="宋体" w:eastAsia="仿宋_GB2312"/>
          <w:color w:val="000000" w:themeColor="text1"/>
          <w:sz w:val="32"/>
          <w14:textFill>
            <w14:solidFill>
              <w14:schemeClr w14:val="tx1"/>
            </w14:solidFill>
          </w14:textFill>
        </w:rPr>
        <w:t>章 关于核心技术与研发情况</w:t>
      </w:r>
      <w:bookmarkEnd w:id="347"/>
      <w:bookmarkEnd w:id="348"/>
      <w:bookmarkEnd w:id="349"/>
      <w:bookmarkEnd w:id="350"/>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7.1 </w:t>
      </w:r>
      <w:r>
        <w:rPr>
          <w:rFonts w:hint="eastAsia" w:ascii="仿宋_GB2312" w:hAnsi="宋体" w:eastAsia="仿宋_GB2312"/>
          <w:color w:val="000000" w:themeColor="text1"/>
          <w:sz w:val="32"/>
          <w:szCs w:val="32"/>
          <w14:textFill>
            <w14:solidFill>
              <w14:schemeClr w14:val="tx1"/>
            </w14:solidFill>
          </w14:textFill>
        </w:rPr>
        <w:t>通过收集发行人（医药企业、医疗器械企业、研发服务企业、医疗服务企业）董事、监事、高级管理人员及核心技术人员的从业经历、入职时间、对发行人研发的具体贡献等情况，调查是否存在违反竞业禁止和保密协议的情况，是否存在将职务发明投入发行人的情形，是否存在纠纷或潜在纠纷。</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7.2 </w:t>
      </w:r>
      <w:r>
        <w:rPr>
          <w:rFonts w:hint="eastAsia" w:ascii="仿宋_GB2312" w:hAnsi="宋体" w:eastAsia="仿宋_GB2312"/>
          <w:color w:val="000000" w:themeColor="text1"/>
          <w:sz w:val="32"/>
          <w:szCs w:val="32"/>
          <w14:textFill>
            <w14:solidFill>
              <w14:schemeClr w14:val="tx1"/>
            </w14:solidFill>
          </w14:textFill>
        </w:rPr>
        <w:t>针对医药企业、医疗器械企业、研发服务企业发行人，通过</w:t>
      </w:r>
      <w:r>
        <w:rPr>
          <w:rFonts w:ascii="仿宋_GB2312" w:hAnsi="宋体" w:eastAsia="仿宋_GB2312"/>
          <w:color w:val="000000" w:themeColor="text1"/>
          <w:sz w:val="32"/>
          <w:szCs w:val="32"/>
          <w14:textFill>
            <w14:solidFill>
              <w14:schemeClr w14:val="tx1"/>
            </w14:solidFill>
          </w14:textFill>
        </w:rPr>
        <w:t>收集发行人现有主要技术的来源、保护措施和专利保护情况，分析与其他厂商是否存在专利和技术纠纷；通过访谈发行人管理层、收集行业专家意见、查阅相关研究资料等方式，调查发行人所处行业的主要技术路线和产品代际，分析发行人产品的技术优势、研发壁垒和行业地位；调查与竞争对手相比，发行人产品的差异化能力和核心竞争力，与行业内头部企业的技术差距情况；调查行业内最新的技术方向和研发热点，</w:t>
      </w:r>
      <w:r>
        <w:rPr>
          <w:rFonts w:hint="eastAsia" w:ascii="仿宋_GB2312" w:hAnsi="宋体" w:eastAsia="仿宋_GB2312"/>
          <w:color w:val="000000" w:themeColor="text1"/>
          <w:sz w:val="32"/>
          <w:szCs w:val="32"/>
          <w14:textFill>
            <w14:solidFill>
              <w14:schemeClr w14:val="tx1"/>
            </w14:solidFill>
          </w14:textFill>
        </w:rPr>
        <w:t>分析</w:t>
      </w:r>
      <w:r>
        <w:rPr>
          <w:rFonts w:ascii="仿宋_GB2312" w:hAnsi="宋体" w:eastAsia="仿宋_GB2312"/>
          <w:color w:val="000000" w:themeColor="text1"/>
          <w:sz w:val="32"/>
          <w:szCs w:val="32"/>
          <w14:textFill>
            <w14:solidFill>
              <w14:schemeClr w14:val="tx1"/>
            </w14:solidFill>
          </w14:textFill>
        </w:rPr>
        <w:t>发行人是否进行了跟进和布局。</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7.3 </w:t>
      </w:r>
      <w:r>
        <w:rPr>
          <w:rFonts w:hint="eastAsia" w:ascii="仿宋_GB2312" w:hAnsi="宋体" w:eastAsia="仿宋_GB2312"/>
          <w:color w:val="000000" w:themeColor="text1"/>
          <w:sz w:val="32"/>
          <w:szCs w:val="32"/>
          <w14:textFill>
            <w14:solidFill>
              <w14:schemeClr w14:val="tx1"/>
            </w14:solidFill>
          </w14:textFill>
        </w:rPr>
        <w:t>调查发行人（医药企业、医疗器械企业、研发服务企业）在合作研发、研发外包、引进授权等与第三方合作的商业模式中参与环节、承担角色及相关权利义务的约定，发行人是否可以独家申请注册证书（等类似成果）、是否拥有完整的知识产权和所有权；与第三方合作协议的主要条款、履行进展、会计处理方式等。</w:t>
      </w:r>
      <w:r>
        <w:rPr>
          <w:rFonts w:ascii="仿宋_GB2312" w:hAnsi="宋体" w:eastAsia="仿宋_GB2312"/>
          <w:color w:val="000000" w:themeColor="text1"/>
          <w:sz w:val="32"/>
          <w:szCs w:val="32"/>
          <w14:textFill>
            <w14:solidFill>
              <w14:schemeClr w14:val="tx1"/>
            </w14:solidFill>
          </w14:textFill>
        </w:rPr>
        <w:t>通过访谈、查阅资料（如临床试验各阶段数据）的形式，了解相关主管部门及主要研究者对发行人主要产品临床结果的重大沟通及解决情况。</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bookmarkStart w:id="351" w:name="OLE_LINK51"/>
      <w:bookmarkStart w:id="352" w:name="OLE_LINK50"/>
      <w:r>
        <w:rPr>
          <w:rFonts w:ascii="仿宋_GB2312" w:hAnsi="宋体" w:eastAsia="仿宋_GB2312"/>
          <w:color w:val="000000" w:themeColor="text1"/>
          <w:sz w:val="32"/>
          <w:szCs w:val="32"/>
          <w14:textFill>
            <w14:solidFill>
              <w14:schemeClr w14:val="tx1"/>
            </w14:solidFill>
          </w14:textFill>
        </w:rPr>
        <w:t xml:space="preserve">7.4 </w:t>
      </w:r>
      <w:r>
        <w:rPr>
          <w:rFonts w:hint="eastAsia" w:ascii="仿宋_GB2312" w:hAnsi="宋体" w:eastAsia="仿宋_GB2312"/>
          <w:color w:val="000000" w:themeColor="text1"/>
          <w:sz w:val="32"/>
          <w:szCs w:val="32"/>
          <w14:textFill>
            <w14:solidFill>
              <w14:schemeClr w14:val="tx1"/>
            </w14:solidFill>
          </w14:textFill>
        </w:rPr>
        <w:t>针对</w:t>
      </w:r>
      <w:r>
        <w:rPr>
          <w:rFonts w:ascii="仿宋_GB2312" w:hAnsi="宋体" w:eastAsia="仿宋_GB2312"/>
          <w:color w:val="000000" w:themeColor="text1"/>
          <w:sz w:val="32"/>
          <w:szCs w:val="32"/>
          <w14:textFill>
            <w14:solidFill>
              <w14:schemeClr w14:val="tx1"/>
            </w14:solidFill>
          </w14:textFill>
        </w:rPr>
        <w:t>医药</w:t>
      </w:r>
      <w:r>
        <w:rPr>
          <w:rFonts w:hint="eastAsia" w:ascii="仿宋_GB2312" w:hAnsi="宋体" w:eastAsia="仿宋_GB2312"/>
          <w:color w:val="000000" w:themeColor="text1"/>
          <w:sz w:val="32"/>
          <w:szCs w:val="32"/>
          <w14:textFill>
            <w14:solidFill>
              <w14:schemeClr w14:val="tx1"/>
            </w14:solidFill>
          </w14:textFill>
        </w:rPr>
        <w:t>企业、</w:t>
      </w:r>
      <w:r>
        <w:rPr>
          <w:rFonts w:ascii="仿宋_GB2312" w:hAnsi="宋体" w:eastAsia="仿宋_GB2312"/>
          <w:color w:val="000000" w:themeColor="text1"/>
          <w:sz w:val="32"/>
          <w:szCs w:val="32"/>
          <w14:textFill>
            <w14:solidFill>
              <w14:schemeClr w14:val="tx1"/>
            </w14:solidFill>
          </w14:textFill>
        </w:rPr>
        <w:t>研发服务企业</w:t>
      </w:r>
      <w:bookmarkEnd w:id="351"/>
      <w:bookmarkEnd w:id="352"/>
      <w:r>
        <w:rPr>
          <w:rFonts w:hint="eastAsia" w:ascii="仿宋_GB2312" w:hAnsi="宋体" w:eastAsia="仿宋_GB2312"/>
          <w:color w:val="000000" w:themeColor="text1"/>
          <w:sz w:val="32"/>
          <w:szCs w:val="32"/>
          <w14:textFill>
            <w14:solidFill>
              <w14:schemeClr w14:val="tx1"/>
            </w14:solidFill>
          </w14:textFill>
        </w:rPr>
        <w:t>发行人，</w:t>
      </w:r>
      <w:r>
        <w:rPr>
          <w:rFonts w:ascii="仿宋_GB2312" w:hAnsi="宋体" w:eastAsia="仿宋_GB2312"/>
          <w:color w:val="000000" w:themeColor="text1"/>
          <w:sz w:val="32"/>
          <w:szCs w:val="32"/>
          <w14:textFill>
            <w14:solidFill>
              <w14:schemeClr w14:val="tx1"/>
            </w14:solidFill>
          </w14:textFill>
        </w:rPr>
        <w:t>通过公开信息检索、实地访谈等方式，了解合作</w:t>
      </w:r>
      <w:r>
        <w:rPr>
          <w:rFonts w:hint="eastAsia" w:ascii="仿宋_GB2312" w:hAnsi="宋体" w:eastAsia="仿宋_GB2312"/>
          <w:color w:val="000000" w:themeColor="text1"/>
          <w:sz w:val="32"/>
          <w:szCs w:val="32"/>
          <w14:textFill>
            <w14:solidFill>
              <w14:schemeClr w14:val="tx1"/>
            </w14:solidFill>
          </w14:textFill>
        </w:rPr>
        <w:t>、</w:t>
      </w:r>
      <w:r>
        <w:rPr>
          <w:rFonts w:ascii="仿宋_GB2312" w:hAnsi="宋体" w:eastAsia="仿宋_GB2312"/>
          <w:color w:val="000000" w:themeColor="text1"/>
          <w:sz w:val="32"/>
          <w:szCs w:val="32"/>
          <w14:textFill>
            <w14:solidFill>
              <w14:schemeClr w14:val="tx1"/>
            </w14:solidFill>
          </w14:textFill>
        </w:rPr>
        <w:t>授权等协议的主要条款、履行进展、会计处理方式等，分析发行人与客户间关于技术权属方面的约定是否清晰。</w:t>
      </w:r>
    </w:p>
    <w:p>
      <w:pPr>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 xml:space="preserve">7.5 </w:t>
      </w:r>
      <w:r>
        <w:rPr>
          <w:rFonts w:hint="eastAsia" w:ascii="仿宋_GB2312" w:hAnsi="宋体" w:eastAsia="仿宋_GB2312"/>
          <w:color w:val="000000" w:themeColor="text1"/>
          <w:sz w:val="32"/>
          <w:szCs w:val="32"/>
          <w14:textFill>
            <w14:solidFill>
              <w14:schemeClr w14:val="tx1"/>
            </w14:solidFill>
          </w14:textFill>
        </w:rPr>
        <w:t>通过收集</w:t>
      </w:r>
      <w:r>
        <w:rPr>
          <w:rFonts w:ascii="仿宋_GB2312" w:hAnsi="宋体" w:eastAsia="仿宋_GB2312"/>
          <w:color w:val="000000" w:themeColor="text1"/>
          <w:sz w:val="32"/>
          <w:szCs w:val="32"/>
          <w14:textFill>
            <w14:solidFill>
              <w14:schemeClr w14:val="tx1"/>
            </w14:solidFill>
          </w14:textFill>
        </w:rPr>
        <w:t>医疗服务企业发行人的创始人、核心管理层、核心技术人员的教育背景、从业经验、业务资质、学术科研成果、多点执业的第一执业地点，分析是否具备开发核心技术的能力，是否与过往从业单位存在技术纠纷或者侵权的风险，是否与过往单位尚处于竞业禁止期；通过公开信息检索、实地访谈等方式核查发行人的核心技术是否存在纠纷或者侵权的情况；结合发行人的技术特点，分析发行人的医疗服务质量、主要经营设备等情况，核查发行人核心技术先进性、合规性与稳定性。</w:t>
      </w:r>
    </w:p>
    <w:p>
      <w:pPr>
        <w:pStyle w:val="33"/>
        <w:spacing w:before="0" w:after="0" w:line="360" w:lineRule="auto"/>
        <w:ind w:firstLine="642" w:firstLineChars="200"/>
        <w:jc w:val="left"/>
        <w:outlineLvl w:val="9"/>
        <w:rPr>
          <w:rFonts w:ascii="仿宋_GB2312" w:hAnsi="宋体" w:eastAsia="仿宋_GB2312"/>
          <w:color w:val="000000" w:themeColor="text1"/>
          <w:sz w:val="32"/>
          <w14:textFill>
            <w14:solidFill>
              <w14:schemeClr w14:val="tx1"/>
            </w14:solidFill>
          </w14:textFill>
        </w:rPr>
      </w:pPr>
    </w:p>
    <w:p>
      <w:pPr>
        <w:spacing w:line="360" w:lineRule="auto"/>
        <w:ind w:firstLine="640" w:firstLineChars="200"/>
        <w:jc w:val="left"/>
        <w:rPr>
          <w:rFonts w:ascii="仿宋_GB2312" w:hAnsi="宋体" w:eastAsia="仿宋_GB2312"/>
          <w:color w:val="000000" w:themeColor="text1"/>
          <w:sz w:val="32"/>
          <w:szCs w:val="32"/>
          <w14:textFill>
            <w14:solidFill>
              <w14:schemeClr w14:val="tx1"/>
            </w14:solidFill>
          </w14:textFill>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4740318"/>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rPr>
        <w:rFonts w:hint="eastAsia"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21</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77588"/>
    </w:sdtPr>
    <w:sdtContent>
      <w:p>
        <w:pPr>
          <w:pStyle w:val="13"/>
          <w:jc w:val="center"/>
        </w:pPr>
        <w:r>
          <w:fldChar w:fldCharType="begin"/>
        </w:r>
        <w:r>
          <w:instrText xml:space="preserve"> PAGE   \* MERGEFORMAT </w:instrText>
        </w:r>
        <w:r>
          <w:fldChar w:fldCharType="separate"/>
        </w:r>
        <w:r>
          <w:rPr>
            <w:lang w:val="zh-CN"/>
          </w:rPr>
          <w:t>201</w:t>
        </w:r>
        <w:r>
          <w:rPr>
            <w:lang w:val="zh-CN"/>
          </w:rP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D980B"/>
    <w:multiLevelType w:val="singleLevel"/>
    <w:tmpl w:val="97FD980B"/>
    <w:lvl w:ilvl="0" w:tentative="0">
      <w:start w:val="3"/>
      <w:numFmt w:val="decimal"/>
      <w:suff w:val="nothing"/>
      <w:lvlText w:val="%1、"/>
      <w:lvlJc w:val="left"/>
    </w:lvl>
  </w:abstractNum>
  <w:abstractNum w:abstractNumId="1">
    <w:nsid w:val="BCFEFE5E"/>
    <w:multiLevelType w:val="singleLevel"/>
    <w:tmpl w:val="BCFEFE5E"/>
    <w:lvl w:ilvl="0" w:tentative="0">
      <w:start w:val="8"/>
      <w:numFmt w:val="decimal"/>
      <w:suff w:val="nothing"/>
      <w:lvlText w:val="%1、"/>
      <w:lvlJc w:val="left"/>
    </w:lvl>
  </w:abstractNum>
  <w:abstractNum w:abstractNumId="2">
    <w:nsid w:val="F7FFB6CF"/>
    <w:multiLevelType w:val="singleLevel"/>
    <w:tmpl w:val="F7FFB6CF"/>
    <w:lvl w:ilvl="0" w:tentative="0">
      <w:start w:val="3"/>
      <w:numFmt w:val="decimal"/>
      <w:suff w:val="nothing"/>
      <w:lvlText w:val="%1、"/>
      <w:lvlJc w:val="left"/>
    </w:lvl>
  </w:abstractNum>
  <w:abstractNum w:abstractNumId="3">
    <w:nsid w:val="3BF4CA93"/>
    <w:multiLevelType w:val="singleLevel"/>
    <w:tmpl w:val="3BF4CA93"/>
    <w:lvl w:ilvl="0" w:tentative="0">
      <w:start w:val="1"/>
      <w:numFmt w:val="decimal"/>
      <w:suff w:val="nothing"/>
      <w:lvlText w:val="%1、"/>
      <w:lvlJc w:val="left"/>
    </w:lvl>
  </w:abstractNum>
  <w:abstractNum w:abstractNumId="4">
    <w:nsid w:val="76E03ED0"/>
    <w:multiLevelType w:val="multilevel"/>
    <w:tmpl w:val="76E03ED0"/>
    <w:lvl w:ilvl="0" w:tentative="0">
      <w:start w:val="1"/>
      <w:numFmt w:val="decimal"/>
      <w:lvlText w:val="%1)"/>
      <w:lvlJc w:val="left"/>
      <w:pPr>
        <w:ind w:left="1128" w:hanging="420"/>
      </w:p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C2"/>
    <w:rsid w:val="00000AC0"/>
    <w:rsid w:val="000026FA"/>
    <w:rsid w:val="00007AE1"/>
    <w:rsid w:val="00007DAD"/>
    <w:rsid w:val="0001085D"/>
    <w:rsid w:val="00011E1F"/>
    <w:rsid w:val="00015760"/>
    <w:rsid w:val="00016691"/>
    <w:rsid w:val="00016EB3"/>
    <w:rsid w:val="000246D0"/>
    <w:rsid w:val="00026238"/>
    <w:rsid w:val="000265CF"/>
    <w:rsid w:val="0003772F"/>
    <w:rsid w:val="00037900"/>
    <w:rsid w:val="00037985"/>
    <w:rsid w:val="00043B04"/>
    <w:rsid w:val="00043BC2"/>
    <w:rsid w:val="00046706"/>
    <w:rsid w:val="00046E87"/>
    <w:rsid w:val="00047147"/>
    <w:rsid w:val="000523F4"/>
    <w:rsid w:val="00053D20"/>
    <w:rsid w:val="00055A10"/>
    <w:rsid w:val="00061A16"/>
    <w:rsid w:val="0006564E"/>
    <w:rsid w:val="00066D04"/>
    <w:rsid w:val="00075320"/>
    <w:rsid w:val="00077777"/>
    <w:rsid w:val="000817D4"/>
    <w:rsid w:val="00081CE2"/>
    <w:rsid w:val="000825BC"/>
    <w:rsid w:val="00085A5E"/>
    <w:rsid w:val="00086E41"/>
    <w:rsid w:val="00095267"/>
    <w:rsid w:val="00095EA6"/>
    <w:rsid w:val="00096B7C"/>
    <w:rsid w:val="000A0D9F"/>
    <w:rsid w:val="000A1525"/>
    <w:rsid w:val="000A19FE"/>
    <w:rsid w:val="000A4323"/>
    <w:rsid w:val="000A4C6C"/>
    <w:rsid w:val="000A4C73"/>
    <w:rsid w:val="000A51EE"/>
    <w:rsid w:val="000A58C9"/>
    <w:rsid w:val="000A69B3"/>
    <w:rsid w:val="000B308D"/>
    <w:rsid w:val="000C04BC"/>
    <w:rsid w:val="000C3BB2"/>
    <w:rsid w:val="000C6E23"/>
    <w:rsid w:val="000D1E34"/>
    <w:rsid w:val="000D1E65"/>
    <w:rsid w:val="000D2F8F"/>
    <w:rsid w:val="000D7D14"/>
    <w:rsid w:val="000E087C"/>
    <w:rsid w:val="000E0FED"/>
    <w:rsid w:val="000E4352"/>
    <w:rsid w:val="000E45C2"/>
    <w:rsid w:val="000E5E50"/>
    <w:rsid w:val="000E75BD"/>
    <w:rsid w:val="000F0826"/>
    <w:rsid w:val="000F0B72"/>
    <w:rsid w:val="000F1595"/>
    <w:rsid w:val="000F3ABB"/>
    <w:rsid w:val="000F48FE"/>
    <w:rsid w:val="000F4EFE"/>
    <w:rsid w:val="000F69D6"/>
    <w:rsid w:val="000F72D9"/>
    <w:rsid w:val="00101016"/>
    <w:rsid w:val="001015FD"/>
    <w:rsid w:val="001046EB"/>
    <w:rsid w:val="001061BE"/>
    <w:rsid w:val="00107EA0"/>
    <w:rsid w:val="001126FE"/>
    <w:rsid w:val="00113CF0"/>
    <w:rsid w:val="00117500"/>
    <w:rsid w:val="001177C2"/>
    <w:rsid w:val="0012172D"/>
    <w:rsid w:val="00122EFC"/>
    <w:rsid w:val="00122F08"/>
    <w:rsid w:val="001231D7"/>
    <w:rsid w:val="00125773"/>
    <w:rsid w:val="00126D81"/>
    <w:rsid w:val="001277AC"/>
    <w:rsid w:val="00130692"/>
    <w:rsid w:val="00133262"/>
    <w:rsid w:val="00136D05"/>
    <w:rsid w:val="00136E7B"/>
    <w:rsid w:val="00136EA2"/>
    <w:rsid w:val="001432E4"/>
    <w:rsid w:val="00144405"/>
    <w:rsid w:val="00146509"/>
    <w:rsid w:val="00154862"/>
    <w:rsid w:val="00157497"/>
    <w:rsid w:val="001575C3"/>
    <w:rsid w:val="0016244B"/>
    <w:rsid w:val="001629EC"/>
    <w:rsid w:val="0016603B"/>
    <w:rsid w:val="00167722"/>
    <w:rsid w:val="0017280E"/>
    <w:rsid w:val="00173942"/>
    <w:rsid w:val="001747E6"/>
    <w:rsid w:val="001826EE"/>
    <w:rsid w:val="001830A3"/>
    <w:rsid w:val="00194ECE"/>
    <w:rsid w:val="0019668A"/>
    <w:rsid w:val="001A1A67"/>
    <w:rsid w:val="001A21EC"/>
    <w:rsid w:val="001A2FA7"/>
    <w:rsid w:val="001A56F2"/>
    <w:rsid w:val="001A7489"/>
    <w:rsid w:val="001B131F"/>
    <w:rsid w:val="001C1FA5"/>
    <w:rsid w:val="001C32CB"/>
    <w:rsid w:val="001C4F6D"/>
    <w:rsid w:val="001C509E"/>
    <w:rsid w:val="001C567B"/>
    <w:rsid w:val="001C7B8E"/>
    <w:rsid w:val="001D05D1"/>
    <w:rsid w:val="001D6C14"/>
    <w:rsid w:val="001D723C"/>
    <w:rsid w:val="001D77EC"/>
    <w:rsid w:val="001E0325"/>
    <w:rsid w:val="001E1F45"/>
    <w:rsid w:val="001E20CB"/>
    <w:rsid w:val="001E2158"/>
    <w:rsid w:val="001E2FD0"/>
    <w:rsid w:val="001E45B5"/>
    <w:rsid w:val="001E7B31"/>
    <w:rsid w:val="001E7DE5"/>
    <w:rsid w:val="001F013F"/>
    <w:rsid w:val="001F6DA7"/>
    <w:rsid w:val="002032EA"/>
    <w:rsid w:val="00205E4B"/>
    <w:rsid w:val="002079A2"/>
    <w:rsid w:val="00207A97"/>
    <w:rsid w:val="00210F57"/>
    <w:rsid w:val="002134EF"/>
    <w:rsid w:val="00214B33"/>
    <w:rsid w:val="00217D13"/>
    <w:rsid w:val="0022048E"/>
    <w:rsid w:val="00221201"/>
    <w:rsid w:val="002220C4"/>
    <w:rsid w:val="0022445A"/>
    <w:rsid w:val="00224A3B"/>
    <w:rsid w:val="00231547"/>
    <w:rsid w:val="00235C18"/>
    <w:rsid w:val="00235C1F"/>
    <w:rsid w:val="00235DF8"/>
    <w:rsid w:val="00236E54"/>
    <w:rsid w:val="00237A17"/>
    <w:rsid w:val="00240857"/>
    <w:rsid w:val="00242231"/>
    <w:rsid w:val="00242AC8"/>
    <w:rsid w:val="002444C1"/>
    <w:rsid w:val="002447E0"/>
    <w:rsid w:val="002459B7"/>
    <w:rsid w:val="00245B09"/>
    <w:rsid w:val="00246DFC"/>
    <w:rsid w:val="0024726C"/>
    <w:rsid w:val="002534F9"/>
    <w:rsid w:val="00255C7E"/>
    <w:rsid w:val="00260EAF"/>
    <w:rsid w:val="0026143E"/>
    <w:rsid w:val="002715F9"/>
    <w:rsid w:val="00273FDC"/>
    <w:rsid w:val="00275F12"/>
    <w:rsid w:val="00277F71"/>
    <w:rsid w:val="002809AC"/>
    <w:rsid w:val="0028482A"/>
    <w:rsid w:val="0029205F"/>
    <w:rsid w:val="002949EF"/>
    <w:rsid w:val="00294EDB"/>
    <w:rsid w:val="00295677"/>
    <w:rsid w:val="00295DA4"/>
    <w:rsid w:val="002A28DB"/>
    <w:rsid w:val="002A58F4"/>
    <w:rsid w:val="002A7CB9"/>
    <w:rsid w:val="002B14EE"/>
    <w:rsid w:val="002C18CF"/>
    <w:rsid w:val="002C36D0"/>
    <w:rsid w:val="002C5AC4"/>
    <w:rsid w:val="002C6C9C"/>
    <w:rsid w:val="002D2191"/>
    <w:rsid w:val="002D459C"/>
    <w:rsid w:val="002E0F9B"/>
    <w:rsid w:val="002E2479"/>
    <w:rsid w:val="002E3816"/>
    <w:rsid w:val="002E73AE"/>
    <w:rsid w:val="002F1909"/>
    <w:rsid w:val="002F224A"/>
    <w:rsid w:val="002F4CC8"/>
    <w:rsid w:val="003010D1"/>
    <w:rsid w:val="00303EE3"/>
    <w:rsid w:val="00303F80"/>
    <w:rsid w:val="00304D30"/>
    <w:rsid w:val="00306211"/>
    <w:rsid w:val="00311AE4"/>
    <w:rsid w:val="00311CFA"/>
    <w:rsid w:val="00311FAC"/>
    <w:rsid w:val="003137FC"/>
    <w:rsid w:val="00313D69"/>
    <w:rsid w:val="0031718D"/>
    <w:rsid w:val="003216A7"/>
    <w:rsid w:val="0032601E"/>
    <w:rsid w:val="00331B5D"/>
    <w:rsid w:val="00332873"/>
    <w:rsid w:val="00332B18"/>
    <w:rsid w:val="00332F3C"/>
    <w:rsid w:val="00334265"/>
    <w:rsid w:val="003343C6"/>
    <w:rsid w:val="00336AA4"/>
    <w:rsid w:val="00337436"/>
    <w:rsid w:val="00341A2B"/>
    <w:rsid w:val="00345691"/>
    <w:rsid w:val="00345BA1"/>
    <w:rsid w:val="00347E24"/>
    <w:rsid w:val="00361AC3"/>
    <w:rsid w:val="00363C9F"/>
    <w:rsid w:val="00366567"/>
    <w:rsid w:val="00367D38"/>
    <w:rsid w:val="0037222D"/>
    <w:rsid w:val="003748FC"/>
    <w:rsid w:val="00374B2C"/>
    <w:rsid w:val="0037567F"/>
    <w:rsid w:val="0038172C"/>
    <w:rsid w:val="00381C0F"/>
    <w:rsid w:val="003874C3"/>
    <w:rsid w:val="00387BBC"/>
    <w:rsid w:val="00391957"/>
    <w:rsid w:val="00391E20"/>
    <w:rsid w:val="003925C5"/>
    <w:rsid w:val="003A2F6E"/>
    <w:rsid w:val="003A3137"/>
    <w:rsid w:val="003A7069"/>
    <w:rsid w:val="003B1834"/>
    <w:rsid w:val="003B3E86"/>
    <w:rsid w:val="003B6FC6"/>
    <w:rsid w:val="003B72E3"/>
    <w:rsid w:val="003C6659"/>
    <w:rsid w:val="003C7816"/>
    <w:rsid w:val="003D0245"/>
    <w:rsid w:val="003D0809"/>
    <w:rsid w:val="003D12A3"/>
    <w:rsid w:val="003E09D1"/>
    <w:rsid w:val="003E0AC5"/>
    <w:rsid w:val="003E5825"/>
    <w:rsid w:val="003F1199"/>
    <w:rsid w:val="003F1E1A"/>
    <w:rsid w:val="003F6E48"/>
    <w:rsid w:val="00400F60"/>
    <w:rsid w:val="00402F29"/>
    <w:rsid w:val="00405917"/>
    <w:rsid w:val="00411292"/>
    <w:rsid w:val="00412487"/>
    <w:rsid w:val="00412DAB"/>
    <w:rsid w:val="0041410C"/>
    <w:rsid w:val="0041581F"/>
    <w:rsid w:val="0041790E"/>
    <w:rsid w:val="0042130D"/>
    <w:rsid w:val="0042254A"/>
    <w:rsid w:val="00424FD3"/>
    <w:rsid w:val="004313A0"/>
    <w:rsid w:val="00433C90"/>
    <w:rsid w:val="004350DB"/>
    <w:rsid w:val="0043678F"/>
    <w:rsid w:val="00440FE4"/>
    <w:rsid w:val="004451A9"/>
    <w:rsid w:val="00445B1F"/>
    <w:rsid w:val="004468CB"/>
    <w:rsid w:val="00447428"/>
    <w:rsid w:val="00450FA6"/>
    <w:rsid w:val="00452001"/>
    <w:rsid w:val="004570A0"/>
    <w:rsid w:val="00462D8D"/>
    <w:rsid w:val="004714EE"/>
    <w:rsid w:val="0047193A"/>
    <w:rsid w:val="00474BB4"/>
    <w:rsid w:val="004754FE"/>
    <w:rsid w:val="004807E7"/>
    <w:rsid w:val="004904E7"/>
    <w:rsid w:val="004930B6"/>
    <w:rsid w:val="004A2679"/>
    <w:rsid w:val="004A65B0"/>
    <w:rsid w:val="004B24A5"/>
    <w:rsid w:val="004B492B"/>
    <w:rsid w:val="004C1EB4"/>
    <w:rsid w:val="004C298A"/>
    <w:rsid w:val="004C666C"/>
    <w:rsid w:val="004C6C0A"/>
    <w:rsid w:val="004C7C7B"/>
    <w:rsid w:val="004D3CF8"/>
    <w:rsid w:val="004D4F23"/>
    <w:rsid w:val="004E0D3C"/>
    <w:rsid w:val="004E2811"/>
    <w:rsid w:val="004E34C1"/>
    <w:rsid w:val="004E4F32"/>
    <w:rsid w:val="004E71C0"/>
    <w:rsid w:val="004E7244"/>
    <w:rsid w:val="004F096B"/>
    <w:rsid w:val="004F28DB"/>
    <w:rsid w:val="004F3FDB"/>
    <w:rsid w:val="004F5A89"/>
    <w:rsid w:val="00501E1C"/>
    <w:rsid w:val="00502C3C"/>
    <w:rsid w:val="00503989"/>
    <w:rsid w:val="00505876"/>
    <w:rsid w:val="0051295E"/>
    <w:rsid w:val="00515096"/>
    <w:rsid w:val="0051684E"/>
    <w:rsid w:val="00516A57"/>
    <w:rsid w:val="00517D8B"/>
    <w:rsid w:val="0052535A"/>
    <w:rsid w:val="00525F7B"/>
    <w:rsid w:val="00533592"/>
    <w:rsid w:val="00535518"/>
    <w:rsid w:val="00540BB7"/>
    <w:rsid w:val="005410E9"/>
    <w:rsid w:val="00543CF8"/>
    <w:rsid w:val="005469E3"/>
    <w:rsid w:val="00551D84"/>
    <w:rsid w:val="005621C7"/>
    <w:rsid w:val="00564E32"/>
    <w:rsid w:val="00566FEF"/>
    <w:rsid w:val="0056700D"/>
    <w:rsid w:val="0056785D"/>
    <w:rsid w:val="00570838"/>
    <w:rsid w:val="0057202A"/>
    <w:rsid w:val="00574782"/>
    <w:rsid w:val="005801F8"/>
    <w:rsid w:val="00580A86"/>
    <w:rsid w:val="00582200"/>
    <w:rsid w:val="00583036"/>
    <w:rsid w:val="00584FB1"/>
    <w:rsid w:val="00586882"/>
    <w:rsid w:val="00593DE5"/>
    <w:rsid w:val="00594E2C"/>
    <w:rsid w:val="00597699"/>
    <w:rsid w:val="005A024E"/>
    <w:rsid w:val="005A4FCC"/>
    <w:rsid w:val="005A7F2F"/>
    <w:rsid w:val="005B5F2D"/>
    <w:rsid w:val="005B6589"/>
    <w:rsid w:val="005B79E6"/>
    <w:rsid w:val="005C3016"/>
    <w:rsid w:val="005D06B2"/>
    <w:rsid w:val="005D5C85"/>
    <w:rsid w:val="005D70B0"/>
    <w:rsid w:val="005E0846"/>
    <w:rsid w:val="005E3175"/>
    <w:rsid w:val="005E5854"/>
    <w:rsid w:val="005E605B"/>
    <w:rsid w:val="005E7CBB"/>
    <w:rsid w:val="005E7E07"/>
    <w:rsid w:val="005F0CC7"/>
    <w:rsid w:val="005F113D"/>
    <w:rsid w:val="005F3A64"/>
    <w:rsid w:val="005F3AA6"/>
    <w:rsid w:val="005F6CB0"/>
    <w:rsid w:val="00607071"/>
    <w:rsid w:val="006110D3"/>
    <w:rsid w:val="00615153"/>
    <w:rsid w:val="00617666"/>
    <w:rsid w:val="00617ACD"/>
    <w:rsid w:val="00626052"/>
    <w:rsid w:val="00626F86"/>
    <w:rsid w:val="0063125D"/>
    <w:rsid w:val="00637E44"/>
    <w:rsid w:val="00645D9F"/>
    <w:rsid w:val="006460C9"/>
    <w:rsid w:val="0065247F"/>
    <w:rsid w:val="00653863"/>
    <w:rsid w:val="00653B6E"/>
    <w:rsid w:val="00655E32"/>
    <w:rsid w:val="006604C6"/>
    <w:rsid w:val="00660980"/>
    <w:rsid w:val="006717F5"/>
    <w:rsid w:val="00672991"/>
    <w:rsid w:val="00675341"/>
    <w:rsid w:val="006766A1"/>
    <w:rsid w:val="006818CE"/>
    <w:rsid w:val="00681A1F"/>
    <w:rsid w:val="006843C1"/>
    <w:rsid w:val="00686B60"/>
    <w:rsid w:val="00687916"/>
    <w:rsid w:val="00690302"/>
    <w:rsid w:val="006932EC"/>
    <w:rsid w:val="00693BE7"/>
    <w:rsid w:val="006944E7"/>
    <w:rsid w:val="0069671C"/>
    <w:rsid w:val="006A250B"/>
    <w:rsid w:val="006A2E79"/>
    <w:rsid w:val="006A364D"/>
    <w:rsid w:val="006B59EA"/>
    <w:rsid w:val="006C031C"/>
    <w:rsid w:val="006C1AE8"/>
    <w:rsid w:val="006C1DC6"/>
    <w:rsid w:val="006C2D83"/>
    <w:rsid w:val="006C519B"/>
    <w:rsid w:val="006C61F8"/>
    <w:rsid w:val="006C6455"/>
    <w:rsid w:val="006C6881"/>
    <w:rsid w:val="006D17DB"/>
    <w:rsid w:val="006D6445"/>
    <w:rsid w:val="006D6732"/>
    <w:rsid w:val="006D6D0F"/>
    <w:rsid w:val="006D732E"/>
    <w:rsid w:val="006E0434"/>
    <w:rsid w:val="006E0B51"/>
    <w:rsid w:val="006E1E25"/>
    <w:rsid w:val="006F191F"/>
    <w:rsid w:val="006F2BAD"/>
    <w:rsid w:val="006F2C73"/>
    <w:rsid w:val="006F3E10"/>
    <w:rsid w:val="006F67BD"/>
    <w:rsid w:val="00706BC0"/>
    <w:rsid w:val="00707A5F"/>
    <w:rsid w:val="007118A3"/>
    <w:rsid w:val="0071203C"/>
    <w:rsid w:val="007126CE"/>
    <w:rsid w:val="00717404"/>
    <w:rsid w:val="00720E0D"/>
    <w:rsid w:val="00723348"/>
    <w:rsid w:val="007243ED"/>
    <w:rsid w:val="00724916"/>
    <w:rsid w:val="0073140E"/>
    <w:rsid w:val="00733E1A"/>
    <w:rsid w:val="00737631"/>
    <w:rsid w:val="00737F74"/>
    <w:rsid w:val="00737FE7"/>
    <w:rsid w:val="00740C6E"/>
    <w:rsid w:val="007432F0"/>
    <w:rsid w:val="00747C75"/>
    <w:rsid w:val="007536C2"/>
    <w:rsid w:val="007655DF"/>
    <w:rsid w:val="0077015E"/>
    <w:rsid w:val="0077196D"/>
    <w:rsid w:val="00782864"/>
    <w:rsid w:val="00783A50"/>
    <w:rsid w:val="00784EC8"/>
    <w:rsid w:val="007917E8"/>
    <w:rsid w:val="007945BB"/>
    <w:rsid w:val="00795555"/>
    <w:rsid w:val="00797F06"/>
    <w:rsid w:val="007A1AC9"/>
    <w:rsid w:val="007A276E"/>
    <w:rsid w:val="007A2CAE"/>
    <w:rsid w:val="007A4159"/>
    <w:rsid w:val="007B0A70"/>
    <w:rsid w:val="007B1C72"/>
    <w:rsid w:val="007B3772"/>
    <w:rsid w:val="007B3D26"/>
    <w:rsid w:val="007B4311"/>
    <w:rsid w:val="007B610B"/>
    <w:rsid w:val="007C4B3F"/>
    <w:rsid w:val="007D1920"/>
    <w:rsid w:val="007E394B"/>
    <w:rsid w:val="007E5BCE"/>
    <w:rsid w:val="007F1313"/>
    <w:rsid w:val="008002CB"/>
    <w:rsid w:val="00800363"/>
    <w:rsid w:val="0080613C"/>
    <w:rsid w:val="00807FCA"/>
    <w:rsid w:val="00810AF3"/>
    <w:rsid w:val="00813A6A"/>
    <w:rsid w:val="00814A9E"/>
    <w:rsid w:val="008151AC"/>
    <w:rsid w:val="00815551"/>
    <w:rsid w:val="008168B6"/>
    <w:rsid w:val="0081720D"/>
    <w:rsid w:val="00817DA8"/>
    <w:rsid w:val="008201C3"/>
    <w:rsid w:val="0082130D"/>
    <w:rsid w:val="008225AB"/>
    <w:rsid w:val="00832522"/>
    <w:rsid w:val="00833495"/>
    <w:rsid w:val="008338B9"/>
    <w:rsid w:val="00840033"/>
    <w:rsid w:val="00840F9F"/>
    <w:rsid w:val="0084220A"/>
    <w:rsid w:val="00843E8A"/>
    <w:rsid w:val="008441DA"/>
    <w:rsid w:val="0084450A"/>
    <w:rsid w:val="00845E19"/>
    <w:rsid w:val="00846B84"/>
    <w:rsid w:val="0085314C"/>
    <w:rsid w:val="00854BA8"/>
    <w:rsid w:val="00857FF2"/>
    <w:rsid w:val="00860DE9"/>
    <w:rsid w:val="00862AC8"/>
    <w:rsid w:val="00862FA0"/>
    <w:rsid w:val="008652C2"/>
    <w:rsid w:val="008712C8"/>
    <w:rsid w:val="00873CE3"/>
    <w:rsid w:val="0087659F"/>
    <w:rsid w:val="0087677C"/>
    <w:rsid w:val="008818DC"/>
    <w:rsid w:val="008827D1"/>
    <w:rsid w:val="008918F2"/>
    <w:rsid w:val="00892E31"/>
    <w:rsid w:val="0089441F"/>
    <w:rsid w:val="00895EAA"/>
    <w:rsid w:val="00896ABE"/>
    <w:rsid w:val="008A2491"/>
    <w:rsid w:val="008A3236"/>
    <w:rsid w:val="008B1412"/>
    <w:rsid w:val="008B2DBC"/>
    <w:rsid w:val="008B30CC"/>
    <w:rsid w:val="008B4097"/>
    <w:rsid w:val="008B4574"/>
    <w:rsid w:val="008B4C0E"/>
    <w:rsid w:val="008B7AF3"/>
    <w:rsid w:val="008C3673"/>
    <w:rsid w:val="008C6C35"/>
    <w:rsid w:val="008D3F25"/>
    <w:rsid w:val="008D3FC7"/>
    <w:rsid w:val="008E3022"/>
    <w:rsid w:val="008E3613"/>
    <w:rsid w:val="008E3907"/>
    <w:rsid w:val="008E3B50"/>
    <w:rsid w:val="008E62F0"/>
    <w:rsid w:val="008E7408"/>
    <w:rsid w:val="008E7966"/>
    <w:rsid w:val="008F0BBB"/>
    <w:rsid w:val="008F0BC5"/>
    <w:rsid w:val="008F43E2"/>
    <w:rsid w:val="00900CE7"/>
    <w:rsid w:val="00902D66"/>
    <w:rsid w:val="00903773"/>
    <w:rsid w:val="009101E6"/>
    <w:rsid w:val="009109D4"/>
    <w:rsid w:val="009133BA"/>
    <w:rsid w:val="00915D57"/>
    <w:rsid w:val="00916162"/>
    <w:rsid w:val="00917ADE"/>
    <w:rsid w:val="00920A27"/>
    <w:rsid w:val="00922E89"/>
    <w:rsid w:val="009243CC"/>
    <w:rsid w:val="00930F73"/>
    <w:rsid w:val="00933664"/>
    <w:rsid w:val="0093412C"/>
    <w:rsid w:val="0093523D"/>
    <w:rsid w:val="00937017"/>
    <w:rsid w:val="00941D12"/>
    <w:rsid w:val="009425E1"/>
    <w:rsid w:val="009462FE"/>
    <w:rsid w:val="00947CB2"/>
    <w:rsid w:val="00947E21"/>
    <w:rsid w:val="00953455"/>
    <w:rsid w:val="00954145"/>
    <w:rsid w:val="00955DA7"/>
    <w:rsid w:val="0095707D"/>
    <w:rsid w:val="009576A3"/>
    <w:rsid w:val="009578D6"/>
    <w:rsid w:val="00961EB6"/>
    <w:rsid w:val="0096230F"/>
    <w:rsid w:val="0097287B"/>
    <w:rsid w:val="00976FD0"/>
    <w:rsid w:val="00985632"/>
    <w:rsid w:val="00986A15"/>
    <w:rsid w:val="009877B4"/>
    <w:rsid w:val="00995262"/>
    <w:rsid w:val="009A2198"/>
    <w:rsid w:val="009A23A6"/>
    <w:rsid w:val="009A2E97"/>
    <w:rsid w:val="009A3096"/>
    <w:rsid w:val="009A31B8"/>
    <w:rsid w:val="009B2121"/>
    <w:rsid w:val="009B500D"/>
    <w:rsid w:val="009B7099"/>
    <w:rsid w:val="009D409C"/>
    <w:rsid w:val="009D5DD5"/>
    <w:rsid w:val="009D7967"/>
    <w:rsid w:val="009E4055"/>
    <w:rsid w:val="009F02AA"/>
    <w:rsid w:val="009F3CB1"/>
    <w:rsid w:val="009F4D49"/>
    <w:rsid w:val="00A0417F"/>
    <w:rsid w:val="00A052F3"/>
    <w:rsid w:val="00A06E4C"/>
    <w:rsid w:val="00A10F6E"/>
    <w:rsid w:val="00A11D65"/>
    <w:rsid w:val="00A14E23"/>
    <w:rsid w:val="00A1752F"/>
    <w:rsid w:val="00A206D8"/>
    <w:rsid w:val="00A239E2"/>
    <w:rsid w:val="00A23AB7"/>
    <w:rsid w:val="00A2505C"/>
    <w:rsid w:val="00A26591"/>
    <w:rsid w:val="00A27CCE"/>
    <w:rsid w:val="00A27EA9"/>
    <w:rsid w:val="00A30D33"/>
    <w:rsid w:val="00A34F51"/>
    <w:rsid w:val="00A35EE3"/>
    <w:rsid w:val="00A36A43"/>
    <w:rsid w:val="00A370D8"/>
    <w:rsid w:val="00A37736"/>
    <w:rsid w:val="00A44C3C"/>
    <w:rsid w:val="00A45999"/>
    <w:rsid w:val="00A46B63"/>
    <w:rsid w:val="00A47F02"/>
    <w:rsid w:val="00A53813"/>
    <w:rsid w:val="00A55990"/>
    <w:rsid w:val="00A55DB7"/>
    <w:rsid w:val="00A60463"/>
    <w:rsid w:val="00A70D39"/>
    <w:rsid w:val="00A7517E"/>
    <w:rsid w:val="00A7545C"/>
    <w:rsid w:val="00A75965"/>
    <w:rsid w:val="00A8262A"/>
    <w:rsid w:val="00A839CC"/>
    <w:rsid w:val="00A86E43"/>
    <w:rsid w:val="00A86F22"/>
    <w:rsid w:val="00A86FE9"/>
    <w:rsid w:val="00A93D8E"/>
    <w:rsid w:val="00A95BF0"/>
    <w:rsid w:val="00AA05D3"/>
    <w:rsid w:val="00AA4C03"/>
    <w:rsid w:val="00AA4DD2"/>
    <w:rsid w:val="00AA4FD3"/>
    <w:rsid w:val="00AB3324"/>
    <w:rsid w:val="00AB36A1"/>
    <w:rsid w:val="00AB4458"/>
    <w:rsid w:val="00AB4973"/>
    <w:rsid w:val="00AB5C56"/>
    <w:rsid w:val="00AC000A"/>
    <w:rsid w:val="00AC13EC"/>
    <w:rsid w:val="00AD3E36"/>
    <w:rsid w:val="00AD3ED9"/>
    <w:rsid w:val="00AE3EE5"/>
    <w:rsid w:val="00AE47D6"/>
    <w:rsid w:val="00AE53B4"/>
    <w:rsid w:val="00AE7C25"/>
    <w:rsid w:val="00AF05FA"/>
    <w:rsid w:val="00AF6845"/>
    <w:rsid w:val="00B06D8F"/>
    <w:rsid w:val="00B1549A"/>
    <w:rsid w:val="00B16689"/>
    <w:rsid w:val="00B16AA7"/>
    <w:rsid w:val="00B20894"/>
    <w:rsid w:val="00B20D44"/>
    <w:rsid w:val="00B21967"/>
    <w:rsid w:val="00B22385"/>
    <w:rsid w:val="00B26674"/>
    <w:rsid w:val="00B34463"/>
    <w:rsid w:val="00B34F3C"/>
    <w:rsid w:val="00B424BB"/>
    <w:rsid w:val="00B45FA0"/>
    <w:rsid w:val="00B46290"/>
    <w:rsid w:val="00B465DB"/>
    <w:rsid w:val="00B51F91"/>
    <w:rsid w:val="00B55AB6"/>
    <w:rsid w:val="00B60909"/>
    <w:rsid w:val="00B645DD"/>
    <w:rsid w:val="00B662A3"/>
    <w:rsid w:val="00B712F9"/>
    <w:rsid w:val="00B750E8"/>
    <w:rsid w:val="00B751A7"/>
    <w:rsid w:val="00B76E77"/>
    <w:rsid w:val="00B80959"/>
    <w:rsid w:val="00B81AED"/>
    <w:rsid w:val="00B8593A"/>
    <w:rsid w:val="00B92348"/>
    <w:rsid w:val="00B9358D"/>
    <w:rsid w:val="00BA3057"/>
    <w:rsid w:val="00BA5E8A"/>
    <w:rsid w:val="00BA6FB9"/>
    <w:rsid w:val="00BA7BAF"/>
    <w:rsid w:val="00BB0913"/>
    <w:rsid w:val="00BB1AD5"/>
    <w:rsid w:val="00BB23C0"/>
    <w:rsid w:val="00BB24F2"/>
    <w:rsid w:val="00BB2732"/>
    <w:rsid w:val="00BB2A7B"/>
    <w:rsid w:val="00BB2C62"/>
    <w:rsid w:val="00BB5D63"/>
    <w:rsid w:val="00BC3446"/>
    <w:rsid w:val="00BC392C"/>
    <w:rsid w:val="00BC3EBB"/>
    <w:rsid w:val="00BC532E"/>
    <w:rsid w:val="00BC7948"/>
    <w:rsid w:val="00BD5C93"/>
    <w:rsid w:val="00BD79D8"/>
    <w:rsid w:val="00BE08D8"/>
    <w:rsid w:val="00BE402B"/>
    <w:rsid w:val="00BE747C"/>
    <w:rsid w:val="00BF0B3E"/>
    <w:rsid w:val="00BF2E87"/>
    <w:rsid w:val="00BF3331"/>
    <w:rsid w:val="00BF3F15"/>
    <w:rsid w:val="00BF6AAC"/>
    <w:rsid w:val="00C01A19"/>
    <w:rsid w:val="00C0368C"/>
    <w:rsid w:val="00C067C5"/>
    <w:rsid w:val="00C06BA7"/>
    <w:rsid w:val="00C07D51"/>
    <w:rsid w:val="00C104C9"/>
    <w:rsid w:val="00C107D2"/>
    <w:rsid w:val="00C11337"/>
    <w:rsid w:val="00C14796"/>
    <w:rsid w:val="00C147ED"/>
    <w:rsid w:val="00C17887"/>
    <w:rsid w:val="00C226C6"/>
    <w:rsid w:val="00C22C0B"/>
    <w:rsid w:val="00C260E2"/>
    <w:rsid w:val="00C26943"/>
    <w:rsid w:val="00C412A7"/>
    <w:rsid w:val="00C42BC5"/>
    <w:rsid w:val="00C44DF7"/>
    <w:rsid w:val="00C47850"/>
    <w:rsid w:val="00C61BCA"/>
    <w:rsid w:val="00C62865"/>
    <w:rsid w:val="00C63A98"/>
    <w:rsid w:val="00C725B6"/>
    <w:rsid w:val="00C74DD2"/>
    <w:rsid w:val="00C74F2E"/>
    <w:rsid w:val="00C75E40"/>
    <w:rsid w:val="00C765EB"/>
    <w:rsid w:val="00C77B9A"/>
    <w:rsid w:val="00C824E1"/>
    <w:rsid w:val="00C85048"/>
    <w:rsid w:val="00C85105"/>
    <w:rsid w:val="00C86427"/>
    <w:rsid w:val="00C877C2"/>
    <w:rsid w:val="00C91982"/>
    <w:rsid w:val="00C921E4"/>
    <w:rsid w:val="00C93546"/>
    <w:rsid w:val="00C93840"/>
    <w:rsid w:val="00C978BE"/>
    <w:rsid w:val="00CA02D2"/>
    <w:rsid w:val="00CA0F21"/>
    <w:rsid w:val="00CB1371"/>
    <w:rsid w:val="00CB1A3D"/>
    <w:rsid w:val="00CB27AE"/>
    <w:rsid w:val="00CB3C84"/>
    <w:rsid w:val="00CB5CAD"/>
    <w:rsid w:val="00CB6C4C"/>
    <w:rsid w:val="00CB6F8F"/>
    <w:rsid w:val="00CC2E97"/>
    <w:rsid w:val="00CC399D"/>
    <w:rsid w:val="00CD230C"/>
    <w:rsid w:val="00CD3639"/>
    <w:rsid w:val="00CD4267"/>
    <w:rsid w:val="00CE3FAF"/>
    <w:rsid w:val="00CE41A0"/>
    <w:rsid w:val="00CE4271"/>
    <w:rsid w:val="00CE66AA"/>
    <w:rsid w:val="00CF03EB"/>
    <w:rsid w:val="00CF0884"/>
    <w:rsid w:val="00D037AD"/>
    <w:rsid w:val="00D0442C"/>
    <w:rsid w:val="00D0464C"/>
    <w:rsid w:val="00D105BB"/>
    <w:rsid w:val="00D11EFA"/>
    <w:rsid w:val="00D13ACB"/>
    <w:rsid w:val="00D153E6"/>
    <w:rsid w:val="00D15456"/>
    <w:rsid w:val="00D20CA9"/>
    <w:rsid w:val="00D22FFC"/>
    <w:rsid w:val="00D24681"/>
    <w:rsid w:val="00D27049"/>
    <w:rsid w:val="00D27A85"/>
    <w:rsid w:val="00D32BC5"/>
    <w:rsid w:val="00D35E83"/>
    <w:rsid w:val="00D40404"/>
    <w:rsid w:val="00D42D36"/>
    <w:rsid w:val="00D43BF3"/>
    <w:rsid w:val="00D44939"/>
    <w:rsid w:val="00D44DFA"/>
    <w:rsid w:val="00D45EB4"/>
    <w:rsid w:val="00D520F1"/>
    <w:rsid w:val="00D52CD6"/>
    <w:rsid w:val="00D53180"/>
    <w:rsid w:val="00D53323"/>
    <w:rsid w:val="00D53EF2"/>
    <w:rsid w:val="00D55DBA"/>
    <w:rsid w:val="00D60C80"/>
    <w:rsid w:val="00D61F1A"/>
    <w:rsid w:val="00D62CDD"/>
    <w:rsid w:val="00D666C2"/>
    <w:rsid w:val="00D72BD5"/>
    <w:rsid w:val="00D80EBF"/>
    <w:rsid w:val="00D8129B"/>
    <w:rsid w:val="00D8318A"/>
    <w:rsid w:val="00D84D78"/>
    <w:rsid w:val="00D85A5F"/>
    <w:rsid w:val="00D878DA"/>
    <w:rsid w:val="00D87B62"/>
    <w:rsid w:val="00D90150"/>
    <w:rsid w:val="00D90711"/>
    <w:rsid w:val="00D9137F"/>
    <w:rsid w:val="00D930A1"/>
    <w:rsid w:val="00D95E85"/>
    <w:rsid w:val="00D96805"/>
    <w:rsid w:val="00D971B3"/>
    <w:rsid w:val="00D97C7B"/>
    <w:rsid w:val="00DA198F"/>
    <w:rsid w:val="00DA4457"/>
    <w:rsid w:val="00DB151B"/>
    <w:rsid w:val="00DB19B9"/>
    <w:rsid w:val="00DB19FB"/>
    <w:rsid w:val="00DB2498"/>
    <w:rsid w:val="00DB2679"/>
    <w:rsid w:val="00DB366C"/>
    <w:rsid w:val="00DB6591"/>
    <w:rsid w:val="00DC15FE"/>
    <w:rsid w:val="00DC16B7"/>
    <w:rsid w:val="00DC38C9"/>
    <w:rsid w:val="00DC5957"/>
    <w:rsid w:val="00DC748C"/>
    <w:rsid w:val="00DD0A0E"/>
    <w:rsid w:val="00DD1B89"/>
    <w:rsid w:val="00DD31BA"/>
    <w:rsid w:val="00DD4655"/>
    <w:rsid w:val="00DD7515"/>
    <w:rsid w:val="00DE06A3"/>
    <w:rsid w:val="00DE191C"/>
    <w:rsid w:val="00DE28E6"/>
    <w:rsid w:val="00DE5ED2"/>
    <w:rsid w:val="00DE7F2F"/>
    <w:rsid w:val="00DF0563"/>
    <w:rsid w:val="00DF1546"/>
    <w:rsid w:val="00DF1DFD"/>
    <w:rsid w:val="00DF6E61"/>
    <w:rsid w:val="00DF751F"/>
    <w:rsid w:val="00DF7B19"/>
    <w:rsid w:val="00E00853"/>
    <w:rsid w:val="00E06963"/>
    <w:rsid w:val="00E06DCF"/>
    <w:rsid w:val="00E10618"/>
    <w:rsid w:val="00E12BD5"/>
    <w:rsid w:val="00E14704"/>
    <w:rsid w:val="00E33177"/>
    <w:rsid w:val="00E37499"/>
    <w:rsid w:val="00E37DC8"/>
    <w:rsid w:val="00E41438"/>
    <w:rsid w:val="00E431A2"/>
    <w:rsid w:val="00E457F0"/>
    <w:rsid w:val="00E51317"/>
    <w:rsid w:val="00E53634"/>
    <w:rsid w:val="00E6208E"/>
    <w:rsid w:val="00E62CC1"/>
    <w:rsid w:val="00E62D2D"/>
    <w:rsid w:val="00E636D7"/>
    <w:rsid w:val="00E639D1"/>
    <w:rsid w:val="00E84E57"/>
    <w:rsid w:val="00E85C48"/>
    <w:rsid w:val="00E8783B"/>
    <w:rsid w:val="00E92676"/>
    <w:rsid w:val="00E92786"/>
    <w:rsid w:val="00E946EC"/>
    <w:rsid w:val="00E95A37"/>
    <w:rsid w:val="00E97C12"/>
    <w:rsid w:val="00EA2013"/>
    <w:rsid w:val="00EA33F2"/>
    <w:rsid w:val="00EA45E6"/>
    <w:rsid w:val="00EA57AB"/>
    <w:rsid w:val="00EA6063"/>
    <w:rsid w:val="00EA780D"/>
    <w:rsid w:val="00EB17C3"/>
    <w:rsid w:val="00EB1FA8"/>
    <w:rsid w:val="00EB231E"/>
    <w:rsid w:val="00EB3327"/>
    <w:rsid w:val="00EB57A0"/>
    <w:rsid w:val="00EB7021"/>
    <w:rsid w:val="00EB7702"/>
    <w:rsid w:val="00EC0917"/>
    <w:rsid w:val="00EC1087"/>
    <w:rsid w:val="00EC2941"/>
    <w:rsid w:val="00EC4DD2"/>
    <w:rsid w:val="00EC5CA7"/>
    <w:rsid w:val="00EE058B"/>
    <w:rsid w:val="00EE2DF9"/>
    <w:rsid w:val="00EF0CC8"/>
    <w:rsid w:val="00EF29D2"/>
    <w:rsid w:val="00EF4690"/>
    <w:rsid w:val="00EF58CC"/>
    <w:rsid w:val="00F03651"/>
    <w:rsid w:val="00F04C10"/>
    <w:rsid w:val="00F050EE"/>
    <w:rsid w:val="00F208AC"/>
    <w:rsid w:val="00F20A85"/>
    <w:rsid w:val="00F20EDE"/>
    <w:rsid w:val="00F224D0"/>
    <w:rsid w:val="00F2272A"/>
    <w:rsid w:val="00F22FA8"/>
    <w:rsid w:val="00F24B1B"/>
    <w:rsid w:val="00F25F1C"/>
    <w:rsid w:val="00F27779"/>
    <w:rsid w:val="00F30EF9"/>
    <w:rsid w:val="00F320BC"/>
    <w:rsid w:val="00F34B79"/>
    <w:rsid w:val="00F35A16"/>
    <w:rsid w:val="00F43C66"/>
    <w:rsid w:val="00F43E50"/>
    <w:rsid w:val="00F46817"/>
    <w:rsid w:val="00F4768D"/>
    <w:rsid w:val="00F505F4"/>
    <w:rsid w:val="00F52AEF"/>
    <w:rsid w:val="00F52CDF"/>
    <w:rsid w:val="00F53E40"/>
    <w:rsid w:val="00F54221"/>
    <w:rsid w:val="00F54467"/>
    <w:rsid w:val="00F55FF5"/>
    <w:rsid w:val="00F562F1"/>
    <w:rsid w:val="00F57D75"/>
    <w:rsid w:val="00F611B7"/>
    <w:rsid w:val="00F6272E"/>
    <w:rsid w:val="00F63289"/>
    <w:rsid w:val="00F63FFA"/>
    <w:rsid w:val="00F65729"/>
    <w:rsid w:val="00F734C9"/>
    <w:rsid w:val="00F754F3"/>
    <w:rsid w:val="00F800E2"/>
    <w:rsid w:val="00F8799A"/>
    <w:rsid w:val="00F90E27"/>
    <w:rsid w:val="00F91C9A"/>
    <w:rsid w:val="00F9215D"/>
    <w:rsid w:val="00F9498B"/>
    <w:rsid w:val="00F952F0"/>
    <w:rsid w:val="00FA43CA"/>
    <w:rsid w:val="00FA5503"/>
    <w:rsid w:val="00FA7B7D"/>
    <w:rsid w:val="00FB1B82"/>
    <w:rsid w:val="00FB261D"/>
    <w:rsid w:val="00FB5DB0"/>
    <w:rsid w:val="00FB6A71"/>
    <w:rsid w:val="00FB7568"/>
    <w:rsid w:val="00FC3F7D"/>
    <w:rsid w:val="00FD3B17"/>
    <w:rsid w:val="00FD4FE9"/>
    <w:rsid w:val="00FE3C0F"/>
    <w:rsid w:val="00FE5730"/>
    <w:rsid w:val="00FF1F22"/>
    <w:rsid w:val="00FF5397"/>
    <w:rsid w:val="00FF6FE9"/>
    <w:rsid w:val="077BCFBB"/>
    <w:rsid w:val="19FD5E2C"/>
    <w:rsid w:val="1B7F9AD8"/>
    <w:rsid w:val="1D77E1A7"/>
    <w:rsid w:val="1DF0F72C"/>
    <w:rsid w:val="1EBC2C7C"/>
    <w:rsid w:val="1EDB1D5D"/>
    <w:rsid w:val="27EF78BA"/>
    <w:rsid w:val="2CED46A7"/>
    <w:rsid w:val="2D78BE92"/>
    <w:rsid w:val="2D9F766D"/>
    <w:rsid w:val="2DBCAB5C"/>
    <w:rsid w:val="33DF520C"/>
    <w:rsid w:val="375AF034"/>
    <w:rsid w:val="37BF166C"/>
    <w:rsid w:val="387AB212"/>
    <w:rsid w:val="39EF8845"/>
    <w:rsid w:val="3BB78EAA"/>
    <w:rsid w:val="3BDF87AD"/>
    <w:rsid w:val="3BFD737D"/>
    <w:rsid w:val="3C7F8D44"/>
    <w:rsid w:val="3CFE53CE"/>
    <w:rsid w:val="3D3750A6"/>
    <w:rsid w:val="3DEBD2A0"/>
    <w:rsid w:val="3DF747B5"/>
    <w:rsid w:val="3E6BC1D9"/>
    <w:rsid w:val="3E6F1D22"/>
    <w:rsid w:val="3E90DA82"/>
    <w:rsid w:val="3EEF156C"/>
    <w:rsid w:val="3EFB6D9D"/>
    <w:rsid w:val="3EFF86BC"/>
    <w:rsid w:val="3F972863"/>
    <w:rsid w:val="3FB1E259"/>
    <w:rsid w:val="3FBBA999"/>
    <w:rsid w:val="3FCB27B5"/>
    <w:rsid w:val="473B2E5D"/>
    <w:rsid w:val="47EF8323"/>
    <w:rsid w:val="4C3D527B"/>
    <w:rsid w:val="4D9DCDFF"/>
    <w:rsid w:val="4F32157F"/>
    <w:rsid w:val="4F5D02C7"/>
    <w:rsid w:val="4FE9C7D5"/>
    <w:rsid w:val="53A345C6"/>
    <w:rsid w:val="56F77680"/>
    <w:rsid w:val="599DA14E"/>
    <w:rsid w:val="59FFB3DC"/>
    <w:rsid w:val="5B7328CA"/>
    <w:rsid w:val="5D7F27DA"/>
    <w:rsid w:val="5DFF512F"/>
    <w:rsid w:val="5E3F235B"/>
    <w:rsid w:val="5E4509CF"/>
    <w:rsid w:val="5EDB9C46"/>
    <w:rsid w:val="5EFE7BA1"/>
    <w:rsid w:val="5F7BD490"/>
    <w:rsid w:val="5FB854A1"/>
    <w:rsid w:val="5FD5E942"/>
    <w:rsid w:val="5FFBB273"/>
    <w:rsid w:val="5FFE2F3E"/>
    <w:rsid w:val="5FFFA114"/>
    <w:rsid w:val="623DD09A"/>
    <w:rsid w:val="63FFFC79"/>
    <w:rsid w:val="65E141BE"/>
    <w:rsid w:val="6763940E"/>
    <w:rsid w:val="67FFFB18"/>
    <w:rsid w:val="6A3F6002"/>
    <w:rsid w:val="6A754FFC"/>
    <w:rsid w:val="6BA7B257"/>
    <w:rsid w:val="6BCFB44B"/>
    <w:rsid w:val="6D6F5DEC"/>
    <w:rsid w:val="6DFF4502"/>
    <w:rsid w:val="6E7A0892"/>
    <w:rsid w:val="6ECA3B5D"/>
    <w:rsid w:val="6EFBF27C"/>
    <w:rsid w:val="6EFF8F19"/>
    <w:rsid w:val="6F96EA8E"/>
    <w:rsid w:val="6FDFEE1D"/>
    <w:rsid w:val="6FFEEB12"/>
    <w:rsid w:val="73B1DE43"/>
    <w:rsid w:val="73C54C47"/>
    <w:rsid w:val="73DCBC3C"/>
    <w:rsid w:val="74BF5340"/>
    <w:rsid w:val="751E0B12"/>
    <w:rsid w:val="75E12038"/>
    <w:rsid w:val="75F599D7"/>
    <w:rsid w:val="767EFF25"/>
    <w:rsid w:val="76DFD77E"/>
    <w:rsid w:val="77B7017E"/>
    <w:rsid w:val="77D5DF1A"/>
    <w:rsid w:val="77DF675E"/>
    <w:rsid w:val="77DF6A29"/>
    <w:rsid w:val="77F91B60"/>
    <w:rsid w:val="785F2153"/>
    <w:rsid w:val="79FBAA53"/>
    <w:rsid w:val="7AFF8677"/>
    <w:rsid w:val="7BF9F683"/>
    <w:rsid w:val="7BFD8A94"/>
    <w:rsid w:val="7CFF702F"/>
    <w:rsid w:val="7D7F55D5"/>
    <w:rsid w:val="7DA5283C"/>
    <w:rsid w:val="7DEB9276"/>
    <w:rsid w:val="7E2964EA"/>
    <w:rsid w:val="7E3F3063"/>
    <w:rsid w:val="7E7F18FB"/>
    <w:rsid w:val="7EBB762F"/>
    <w:rsid w:val="7EBF64EE"/>
    <w:rsid w:val="7ECBEE81"/>
    <w:rsid w:val="7EF6F787"/>
    <w:rsid w:val="7EFF9AA4"/>
    <w:rsid w:val="7F1D6BA5"/>
    <w:rsid w:val="7F2F8292"/>
    <w:rsid w:val="7F3A2DCA"/>
    <w:rsid w:val="7F5E1E2B"/>
    <w:rsid w:val="7F5FA647"/>
    <w:rsid w:val="7F9B1F5B"/>
    <w:rsid w:val="7F9E080E"/>
    <w:rsid w:val="7FA25C71"/>
    <w:rsid w:val="7FDD481D"/>
    <w:rsid w:val="7FDF5CCB"/>
    <w:rsid w:val="7FE605AB"/>
    <w:rsid w:val="7FEF0854"/>
    <w:rsid w:val="7FF34305"/>
    <w:rsid w:val="7FF3DDE5"/>
    <w:rsid w:val="7FF75601"/>
    <w:rsid w:val="7FFD7B27"/>
    <w:rsid w:val="7FFDCB79"/>
    <w:rsid w:val="7FFE4687"/>
    <w:rsid w:val="7FFF3A72"/>
    <w:rsid w:val="7FFFCD47"/>
    <w:rsid w:val="7FFFCF04"/>
    <w:rsid w:val="8AFF86A2"/>
    <w:rsid w:val="8EF66330"/>
    <w:rsid w:val="8F36EB5C"/>
    <w:rsid w:val="93B994F2"/>
    <w:rsid w:val="9BFFB70F"/>
    <w:rsid w:val="9F3D01B0"/>
    <w:rsid w:val="A3AD1C03"/>
    <w:rsid w:val="A3DF03FF"/>
    <w:rsid w:val="A7AA2294"/>
    <w:rsid w:val="A93729EF"/>
    <w:rsid w:val="A97EDB12"/>
    <w:rsid w:val="AAD63BDF"/>
    <w:rsid w:val="ABF530FC"/>
    <w:rsid w:val="AD7F3863"/>
    <w:rsid w:val="AF16C2ED"/>
    <w:rsid w:val="AFBF0424"/>
    <w:rsid w:val="AFFF35B2"/>
    <w:rsid w:val="B0FE4055"/>
    <w:rsid w:val="B5742AEC"/>
    <w:rsid w:val="B5FF8B49"/>
    <w:rsid w:val="B75D23D0"/>
    <w:rsid w:val="B7DB523A"/>
    <w:rsid w:val="B7FFE846"/>
    <w:rsid w:val="BBD7EEEF"/>
    <w:rsid w:val="BBFEF066"/>
    <w:rsid w:val="BCFE2093"/>
    <w:rsid w:val="BD526388"/>
    <w:rsid w:val="BDF5EE37"/>
    <w:rsid w:val="BE2E20E7"/>
    <w:rsid w:val="BE3EC797"/>
    <w:rsid w:val="BFFEDFDB"/>
    <w:rsid w:val="BFFF32D6"/>
    <w:rsid w:val="CDDED534"/>
    <w:rsid w:val="CF6FDDD9"/>
    <w:rsid w:val="CFB6E2B4"/>
    <w:rsid w:val="CFFFB094"/>
    <w:rsid w:val="D3BF24B3"/>
    <w:rsid w:val="D5BFA26B"/>
    <w:rsid w:val="D5FFB34B"/>
    <w:rsid w:val="D6FDD30C"/>
    <w:rsid w:val="D7279A22"/>
    <w:rsid w:val="D77C7A90"/>
    <w:rsid w:val="D77F2813"/>
    <w:rsid w:val="D7FF71C6"/>
    <w:rsid w:val="D9FFE411"/>
    <w:rsid w:val="DB5BDF36"/>
    <w:rsid w:val="DBBD097D"/>
    <w:rsid w:val="DBE76C07"/>
    <w:rsid w:val="DD7FE463"/>
    <w:rsid w:val="DEBFCE7A"/>
    <w:rsid w:val="DEDAAD07"/>
    <w:rsid w:val="DF5AF6E1"/>
    <w:rsid w:val="DFC7D713"/>
    <w:rsid w:val="DFF117DC"/>
    <w:rsid w:val="DFFF6A9E"/>
    <w:rsid w:val="E5FC96F1"/>
    <w:rsid w:val="E6F7F93C"/>
    <w:rsid w:val="E78BCC93"/>
    <w:rsid w:val="E7A4DB77"/>
    <w:rsid w:val="E7FB5A41"/>
    <w:rsid w:val="E7FBBB7E"/>
    <w:rsid w:val="E7FF96EE"/>
    <w:rsid w:val="EB7D992F"/>
    <w:rsid w:val="EBFE5280"/>
    <w:rsid w:val="ED1EB659"/>
    <w:rsid w:val="EDC3A787"/>
    <w:rsid w:val="EDE7AD9A"/>
    <w:rsid w:val="EDED553D"/>
    <w:rsid w:val="EE7EA66D"/>
    <w:rsid w:val="EFE59CDB"/>
    <w:rsid w:val="EFF6C295"/>
    <w:rsid w:val="EFFB9E62"/>
    <w:rsid w:val="F38DF635"/>
    <w:rsid w:val="F3F7FF23"/>
    <w:rsid w:val="F3FB6EA7"/>
    <w:rsid w:val="F6FFFE2A"/>
    <w:rsid w:val="F7EFFB5F"/>
    <w:rsid w:val="F7FB3974"/>
    <w:rsid w:val="F7FBBDF5"/>
    <w:rsid w:val="F7FE0099"/>
    <w:rsid w:val="F9DB489D"/>
    <w:rsid w:val="FB77D1DC"/>
    <w:rsid w:val="FBB6E96A"/>
    <w:rsid w:val="FBCF1A88"/>
    <w:rsid w:val="FBF20FC9"/>
    <w:rsid w:val="FBF7E82C"/>
    <w:rsid w:val="FBFF3D9C"/>
    <w:rsid w:val="FBFF45A3"/>
    <w:rsid w:val="FBFFBF36"/>
    <w:rsid w:val="FCFB7F9A"/>
    <w:rsid w:val="FD0F1CA4"/>
    <w:rsid w:val="FD3B3954"/>
    <w:rsid w:val="FDAF387F"/>
    <w:rsid w:val="FDBB0CA5"/>
    <w:rsid w:val="FDDED2A9"/>
    <w:rsid w:val="FDEB4917"/>
    <w:rsid w:val="FDFFD35B"/>
    <w:rsid w:val="FE1D3A3B"/>
    <w:rsid w:val="FE7CC594"/>
    <w:rsid w:val="FE7FB064"/>
    <w:rsid w:val="FE9DC905"/>
    <w:rsid w:val="FEB3851D"/>
    <w:rsid w:val="FEDB50A2"/>
    <w:rsid w:val="FEE91D36"/>
    <w:rsid w:val="FEEBF21B"/>
    <w:rsid w:val="FEEE460F"/>
    <w:rsid w:val="FF3690C8"/>
    <w:rsid w:val="FF65CE39"/>
    <w:rsid w:val="FF7FC1C1"/>
    <w:rsid w:val="FFBD0925"/>
    <w:rsid w:val="FFBE5114"/>
    <w:rsid w:val="FFD5FF44"/>
    <w:rsid w:val="FFDD8780"/>
    <w:rsid w:val="FFDF3D15"/>
    <w:rsid w:val="FFEDAC59"/>
    <w:rsid w:val="FFF75295"/>
    <w:rsid w:val="FFFB8CE5"/>
    <w:rsid w:val="FFFBB4A9"/>
    <w:rsid w:val="FFFDA2D2"/>
    <w:rsid w:val="FFFE1E30"/>
    <w:rsid w:val="FFFE3751"/>
    <w:rsid w:val="FFFFC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rFonts w:ascii="Calibri" w:hAnsi="Calibri"/>
      <w:b/>
      <w:bCs/>
      <w:sz w:val="32"/>
      <w:szCs w:val="32"/>
    </w:rPr>
  </w:style>
  <w:style w:type="paragraph" w:styleId="5">
    <w:name w:val="heading 4"/>
    <w:basedOn w:val="1"/>
    <w:next w:val="1"/>
    <w:link w:val="29"/>
    <w:unhideWhenUsed/>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rPr>
  </w:style>
  <w:style w:type="paragraph" w:styleId="7">
    <w:name w:val="annotation text"/>
    <w:basedOn w:val="1"/>
    <w:link w:val="37"/>
    <w:unhideWhenUsed/>
    <w:qFormat/>
    <w:uiPriority w:val="99"/>
    <w:pPr>
      <w:jc w:val="left"/>
    </w:pPr>
  </w:style>
  <w:style w:type="paragraph" w:styleId="8">
    <w:name w:val="toc 5"/>
    <w:basedOn w:val="1"/>
    <w:next w:val="1"/>
    <w:unhideWhenUsed/>
    <w:qFormat/>
    <w:uiPriority w:val="39"/>
    <w:pPr>
      <w:ind w:left="1680" w:leftChars="800"/>
    </w:pPr>
    <w:rPr>
      <w:rFonts w:asciiTheme="minorHAnsi" w:hAnsiTheme="minorHAnsi" w:eastAsiaTheme="minorEastAsia" w:cstheme="minorBidi"/>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rPr>
      <w:rFonts w:asciiTheme="minorHAnsi" w:hAnsiTheme="minorHAnsi" w:eastAsiaTheme="minorEastAsia" w:cstheme="minorBidi"/>
    </w:rPr>
  </w:style>
  <w:style w:type="paragraph" w:styleId="11">
    <w:name w:val="Date"/>
    <w:basedOn w:val="1"/>
    <w:next w:val="1"/>
    <w:link w:val="40"/>
    <w:unhideWhenUsed/>
    <w:qFormat/>
    <w:uiPriority w:val="99"/>
    <w:pPr>
      <w:ind w:left="100" w:leftChars="2500"/>
    </w:pPr>
  </w:style>
  <w:style w:type="paragraph" w:styleId="12">
    <w:name w:val="Balloon Text"/>
    <w:basedOn w:val="1"/>
    <w:link w:val="38"/>
    <w:unhideWhenUsed/>
    <w:qFormat/>
    <w:uiPriority w:val="99"/>
    <w:rPr>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rPr>
      <w:rFonts w:asciiTheme="minorHAnsi" w:hAnsiTheme="minorHAnsi" w:eastAsiaTheme="minorEastAsia" w:cstheme="minorBidi"/>
    </w:rPr>
  </w:style>
  <w:style w:type="paragraph" w:styleId="17">
    <w:name w:val="toc 6"/>
    <w:basedOn w:val="1"/>
    <w:next w:val="1"/>
    <w:unhideWhenUsed/>
    <w:qFormat/>
    <w:uiPriority w:val="39"/>
    <w:pPr>
      <w:ind w:left="2100" w:leftChars="1000"/>
    </w:pPr>
    <w:rPr>
      <w:rFonts w:asciiTheme="minorHAnsi" w:hAnsiTheme="minorHAnsi" w:eastAsiaTheme="minorEastAsia" w:cstheme="minorBidi"/>
    </w:rPr>
  </w:style>
  <w:style w:type="paragraph" w:styleId="18">
    <w:name w:val="toc 2"/>
    <w:basedOn w:val="1"/>
    <w:next w:val="1"/>
    <w:unhideWhenUsed/>
    <w:qFormat/>
    <w:uiPriority w:val="39"/>
    <w:pPr>
      <w:ind w:left="420" w:leftChars="200"/>
    </w:pPr>
    <w:rPr>
      <w:rFonts w:asciiTheme="minorHAnsi" w:hAnsiTheme="minorHAnsi" w:eastAsiaTheme="minorEastAsia" w:cstheme="minorBidi"/>
    </w:rPr>
  </w:style>
  <w:style w:type="paragraph" w:styleId="19">
    <w:name w:val="toc 9"/>
    <w:basedOn w:val="1"/>
    <w:next w:val="1"/>
    <w:unhideWhenUsed/>
    <w:qFormat/>
    <w:uiPriority w:val="39"/>
    <w:pPr>
      <w:ind w:left="3360" w:leftChars="1600"/>
    </w:pPr>
    <w:rPr>
      <w:rFonts w:asciiTheme="minorHAnsi" w:hAnsiTheme="minorHAnsi" w:eastAsiaTheme="minorEastAsia" w:cstheme="minorBidi"/>
    </w:rPr>
  </w:style>
  <w:style w:type="paragraph" w:styleId="20">
    <w:name w:val="Title"/>
    <w:basedOn w:val="1"/>
    <w:next w:val="1"/>
    <w:link w:val="34"/>
    <w:qFormat/>
    <w:uiPriority w:val="10"/>
    <w:pPr>
      <w:spacing w:before="240" w:after="60"/>
      <w:jc w:val="center"/>
      <w:outlineLvl w:val="0"/>
    </w:pPr>
    <w:rPr>
      <w:rFonts w:asciiTheme="majorHAnsi" w:hAnsiTheme="majorHAnsi" w:cstheme="majorBidi"/>
      <w:b/>
      <w:bCs/>
      <w:sz w:val="32"/>
      <w:szCs w:val="32"/>
    </w:rPr>
  </w:style>
  <w:style w:type="paragraph" w:styleId="21">
    <w:name w:val="annotation subject"/>
    <w:basedOn w:val="7"/>
    <w:next w:val="7"/>
    <w:link w:val="43"/>
    <w:unhideWhenUsed/>
    <w:qFormat/>
    <w:uiPriority w:val="99"/>
    <w:rPr>
      <w:b/>
      <w:bCs/>
    </w:rPr>
  </w:style>
  <w:style w:type="character" w:styleId="24">
    <w:name w:val="page number"/>
    <w:basedOn w:val="23"/>
    <w:semiHidden/>
    <w:qFormat/>
    <w:uiPriority w:val="0"/>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styleId="26">
    <w:name w:val="annotation reference"/>
    <w:basedOn w:val="23"/>
    <w:unhideWhenUsed/>
    <w:qFormat/>
    <w:uiPriority w:val="99"/>
    <w:rPr>
      <w:sz w:val="21"/>
      <w:szCs w:val="21"/>
    </w:rPr>
  </w:style>
  <w:style w:type="character" w:customStyle="1" w:styleId="27">
    <w:name w:val="标题 2 字符"/>
    <w:basedOn w:val="23"/>
    <w:link w:val="3"/>
    <w:qFormat/>
    <w:uiPriority w:val="9"/>
    <w:rPr>
      <w:rFonts w:ascii="等线 Light" w:hAnsi="等线 Light" w:eastAsia="等线 Light" w:cs="Times New Roman"/>
      <w:b/>
      <w:bCs/>
      <w:sz w:val="32"/>
      <w:szCs w:val="32"/>
    </w:rPr>
  </w:style>
  <w:style w:type="character" w:customStyle="1" w:styleId="28">
    <w:name w:val="标题 3 Char"/>
    <w:basedOn w:val="23"/>
    <w:qFormat/>
    <w:uiPriority w:val="9"/>
    <w:rPr>
      <w:rFonts w:ascii="等线" w:hAnsi="等线" w:eastAsia="宋体" w:cs="Times New Roman"/>
      <w:b/>
      <w:bCs/>
      <w:sz w:val="32"/>
      <w:szCs w:val="32"/>
    </w:rPr>
  </w:style>
  <w:style w:type="character" w:customStyle="1" w:styleId="29">
    <w:name w:val="标题 4 字符"/>
    <w:basedOn w:val="23"/>
    <w:link w:val="5"/>
    <w:qFormat/>
    <w:uiPriority w:val="9"/>
    <w:rPr>
      <w:rFonts w:ascii="Cambria" w:hAnsi="Cambria" w:eastAsia="宋体" w:cs="Times New Roman"/>
      <w:b/>
      <w:bCs/>
      <w:sz w:val="28"/>
      <w:szCs w:val="28"/>
    </w:rPr>
  </w:style>
  <w:style w:type="character" w:customStyle="1" w:styleId="30">
    <w:name w:val="页眉 字符"/>
    <w:basedOn w:val="23"/>
    <w:link w:val="14"/>
    <w:qFormat/>
    <w:uiPriority w:val="99"/>
    <w:rPr>
      <w:rFonts w:ascii="等线" w:hAnsi="等线" w:eastAsia="宋体" w:cs="Times New Roman"/>
      <w:sz w:val="18"/>
      <w:szCs w:val="18"/>
    </w:rPr>
  </w:style>
  <w:style w:type="character" w:customStyle="1" w:styleId="31">
    <w:name w:val="页脚 字符"/>
    <w:basedOn w:val="23"/>
    <w:link w:val="13"/>
    <w:qFormat/>
    <w:uiPriority w:val="99"/>
    <w:rPr>
      <w:rFonts w:ascii="等线" w:hAnsi="等线" w:eastAsia="宋体" w:cs="Times New Roman"/>
      <w:sz w:val="18"/>
      <w:szCs w:val="18"/>
    </w:rPr>
  </w:style>
  <w:style w:type="character" w:customStyle="1" w:styleId="32">
    <w:name w:val="法规 Char"/>
    <w:link w:val="33"/>
    <w:qFormat/>
    <w:uiPriority w:val="0"/>
    <w:rPr>
      <w:rFonts w:ascii="等线 Light" w:hAnsi="等线 Light" w:eastAsia="宋体" w:cs="Times New Roman"/>
      <w:b/>
      <w:bCs/>
      <w:sz w:val="24"/>
      <w:szCs w:val="32"/>
    </w:rPr>
  </w:style>
  <w:style w:type="paragraph" w:customStyle="1" w:styleId="33">
    <w:name w:val="法规"/>
    <w:basedOn w:val="20"/>
    <w:link w:val="32"/>
    <w:qFormat/>
    <w:uiPriority w:val="0"/>
    <w:rPr>
      <w:rFonts w:ascii="等线 Light" w:hAnsi="等线 Light" w:cs="Times New Roman"/>
      <w:sz w:val="24"/>
    </w:rPr>
  </w:style>
  <w:style w:type="character" w:customStyle="1" w:styleId="34">
    <w:name w:val="标题 字符"/>
    <w:basedOn w:val="23"/>
    <w:link w:val="20"/>
    <w:qFormat/>
    <w:uiPriority w:val="10"/>
    <w:rPr>
      <w:rFonts w:eastAsia="宋体" w:asciiTheme="majorHAnsi" w:hAnsiTheme="majorHAnsi" w:cstheme="majorBidi"/>
      <w:b/>
      <w:bCs/>
      <w:sz w:val="32"/>
      <w:szCs w:val="32"/>
    </w:rPr>
  </w:style>
  <w:style w:type="character" w:customStyle="1" w:styleId="35">
    <w:name w:val="标题 3 字符"/>
    <w:basedOn w:val="23"/>
    <w:link w:val="4"/>
    <w:qFormat/>
    <w:uiPriority w:val="9"/>
    <w:rPr>
      <w:rFonts w:ascii="Calibri" w:hAnsi="Calibri" w:eastAsia="宋体" w:cs="Times New Roman"/>
      <w:b/>
      <w:bCs/>
      <w:sz w:val="32"/>
      <w:szCs w:val="32"/>
    </w:rPr>
  </w:style>
  <w:style w:type="paragraph" w:customStyle="1" w:styleId="36">
    <w:name w:val="列出段落1"/>
    <w:basedOn w:val="1"/>
    <w:qFormat/>
    <w:uiPriority w:val="99"/>
    <w:pPr>
      <w:ind w:firstLine="420" w:firstLineChars="200"/>
    </w:pPr>
  </w:style>
  <w:style w:type="character" w:customStyle="1" w:styleId="37">
    <w:name w:val="批注文字 字符"/>
    <w:basedOn w:val="23"/>
    <w:link w:val="7"/>
    <w:qFormat/>
    <w:uiPriority w:val="99"/>
    <w:rPr>
      <w:rFonts w:ascii="等线" w:hAnsi="等线" w:eastAsia="宋体" w:cs="Times New Roman"/>
    </w:rPr>
  </w:style>
  <w:style w:type="character" w:customStyle="1" w:styleId="38">
    <w:name w:val="批注框文本 字符"/>
    <w:basedOn w:val="23"/>
    <w:link w:val="12"/>
    <w:semiHidden/>
    <w:qFormat/>
    <w:uiPriority w:val="99"/>
    <w:rPr>
      <w:rFonts w:ascii="等线" w:hAnsi="等线" w:eastAsia="宋体" w:cs="Times New Roman"/>
      <w:sz w:val="18"/>
      <w:szCs w:val="18"/>
    </w:rPr>
  </w:style>
  <w:style w:type="paragraph" w:customStyle="1" w:styleId="39">
    <w:name w:val="005正文"/>
    <w:basedOn w:val="1"/>
    <w:qFormat/>
    <w:uiPriority w:val="0"/>
    <w:pPr>
      <w:spacing w:line="520" w:lineRule="exact"/>
      <w:ind w:firstLine="200" w:firstLineChars="200"/>
    </w:pPr>
    <w:rPr>
      <w:rFonts w:ascii="仿宋_GB2312" w:hAnsi="Times New Roman" w:eastAsia="仿宋_GB2312"/>
      <w:sz w:val="28"/>
    </w:rPr>
  </w:style>
  <w:style w:type="character" w:customStyle="1" w:styleId="40">
    <w:name w:val="日期 字符"/>
    <w:basedOn w:val="23"/>
    <w:link w:val="11"/>
    <w:semiHidden/>
    <w:qFormat/>
    <w:uiPriority w:val="99"/>
    <w:rPr>
      <w:rFonts w:ascii="等线" w:hAnsi="等线" w:eastAsia="宋体" w:cs="Times New Roman"/>
    </w:rPr>
  </w:style>
  <w:style w:type="character" w:customStyle="1" w:styleId="41">
    <w:name w:val="标题 1 字符"/>
    <w:basedOn w:val="23"/>
    <w:link w:val="2"/>
    <w:qFormat/>
    <w:uiPriority w:val="9"/>
    <w:rPr>
      <w:rFonts w:ascii="等线" w:hAnsi="等线" w:eastAsia="宋体" w:cs="Times New Roman"/>
      <w:b/>
      <w:bCs/>
      <w:kern w:val="44"/>
      <w:sz w:val="44"/>
      <w:szCs w:val="44"/>
    </w:rPr>
  </w:style>
  <w:style w:type="paragraph" w:customStyle="1" w:styleId="4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批注主题 字符"/>
    <w:basedOn w:val="37"/>
    <w:link w:val="21"/>
    <w:semiHidden/>
    <w:qFormat/>
    <w:uiPriority w:val="99"/>
    <w:rPr>
      <w:rFonts w:ascii="等线" w:hAnsi="等线" w:eastAsia="宋体" w:cs="Times New Roman"/>
      <w:b/>
      <w:bCs/>
    </w:rPr>
  </w:style>
  <w:style w:type="paragraph" w:customStyle="1" w:styleId="44">
    <w:name w:val="修订1"/>
    <w:hidden/>
    <w:semiHidden/>
    <w:qFormat/>
    <w:uiPriority w:val="99"/>
    <w:rPr>
      <w:rFonts w:ascii="等线" w:hAnsi="等线" w:eastAsia="宋体" w:cs="Times New Roman"/>
      <w:kern w:val="2"/>
      <w:sz w:val="21"/>
      <w:szCs w:val="22"/>
      <w:lang w:val="en-US" w:eastAsia="zh-CN" w:bidi="ar-SA"/>
    </w:rPr>
  </w:style>
  <w:style w:type="paragraph" w:customStyle="1" w:styleId="45">
    <w:name w:val="修订2"/>
    <w:hidden/>
    <w:semiHidden/>
    <w:qFormat/>
    <w:uiPriority w:val="99"/>
    <w:rPr>
      <w:rFonts w:ascii="等线" w:hAnsi="等线" w:eastAsia="宋体" w:cs="Times New Roman"/>
      <w:kern w:val="2"/>
      <w:sz w:val="21"/>
      <w:szCs w:val="22"/>
      <w:lang w:val="en-US" w:eastAsia="zh-CN" w:bidi="ar-SA"/>
    </w:rPr>
  </w:style>
  <w:style w:type="paragraph" w:customStyle="1" w:styleId="46">
    <w:name w:val="修订3"/>
    <w:hidden/>
    <w:semiHidden/>
    <w:qFormat/>
    <w:uiPriority w:val="99"/>
    <w:rPr>
      <w:rFonts w:ascii="等线" w:hAnsi="等线" w:eastAsia="宋体" w:cs="Times New Roman"/>
      <w:kern w:val="2"/>
      <w:sz w:val="21"/>
      <w:szCs w:val="22"/>
      <w:lang w:val="en-US" w:eastAsia="zh-CN" w:bidi="ar-SA"/>
    </w:rPr>
  </w:style>
  <w:style w:type="paragraph" w:styleId="47">
    <w:name w:val="List Paragraph"/>
    <w:basedOn w:val="1"/>
    <w:qFormat/>
    <w:uiPriority w:val="99"/>
    <w:pPr>
      <w:ind w:firstLine="420" w:firstLineChars="200"/>
    </w:pPr>
  </w:style>
  <w:style w:type="paragraph" w:customStyle="1" w:styleId="48">
    <w:name w:val="修订4"/>
    <w:hidden/>
    <w:semiHidden/>
    <w:qFormat/>
    <w:uiPriority w:val="99"/>
    <w:rPr>
      <w:rFonts w:ascii="等线" w:hAnsi="等线" w:eastAsia="宋体" w:cs="Times New Roman"/>
      <w:kern w:val="2"/>
      <w:sz w:val="21"/>
      <w:szCs w:val="22"/>
      <w:lang w:val="en-US" w:eastAsia="zh-CN" w:bidi="ar-SA"/>
    </w:rPr>
  </w:style>
  <w:style w:type="paragraph" w:customStyle="1" w:styleId="49">
    <w:name w:val="Revision"/>
    <w:hidden/>
    <w:semiHidden/>
    <w:qFormat/>
    <w:uiPriority w:val="99"/>
    <w:rPr>
      <w:rFonts w:ascii="等线" w:hAnsi="等线"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中信建投证券股份有限公司</Company>
  <Pages>209</Pages>
  <Words>16133</Words>
  <Characters>91964</Characters>
  <Lines>766</Lines>
  <Paragraphs>215</Paragraphs>
  <TotalTime>1</TotalTime>
  <ScaleCrop>false</ScaleCrop>
  <LinksUpToDate>false</LinksUpToDate>
  <CharactersWithSpaces>107882</CharactersWithSpaces>
  <Application>WPS Office_11.8.2.10166_F1E327BC-269C-435d-A152-05C5408002CA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2022-06-11T15:15:00Z</dcterms:created>
  <dc:creator>蔡玉洁</dc:creator>
  <cp:lastModifiedBy>WangXia</cp:lastModifiedBy>
  <cp:lastPrinted>2021-07-18T17:21:00Z</cp:lastPrinted>
  <dcterms:modified xsi:type="dcterms:W3CDTF">2022-06-17T15:57:03Z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2052-11.8.2.10166</vt:lpwstr>
  </property>
  <property fmtid="{D5CDD505-2E9C-101B-9397-08002B2CF9AE}" pid="3" name="ICV">
    <vt:lpwstr>8358195E84746AD5E44D8F62289DD7C7</vt:lpwstr>
  </property>
</Properties>
</file>