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F077D" w14:textId="77777777" w:rsidR="00396A21" w:rsidRDefault="00396A21" w:rsidP="00396A21">
      <w:pPr>
        <w:rPr>
          <w:rFonts w:ascii="黑体" w:eastAsia="黑体" w:hAnsi="黑体"/>
          <w:sz w:val="32"/>
          <w:szCs w:val="32"/>
        </w:rPr>
      </w:pPr>
      <w:r w:rsidRPr="003178FB">
        <w:rPr>
          <w:rFonts w:ascii="黑体" w:eastAsia="黑体" w:hAnsi="黑体" w:hint="eastAsia"/>
          <w:sz w:val="32"/>
          <w:szCs w:val="32"/>
        </w:rPr>
        <w:t>附件4</w:t>
      </w:r>
    </w:p>
    <w:p w14:paraId="4C5F1D54" w14:textId="77777777" w:rsidR="00396A21" w:rsidRDefault="00396A21" w:rsidP="00396A21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77F4EDF6" w14:textId="77777777" w:rsidR="00396A21" w:rsidRDefault="00396A21" w:rsidP="00396A21">
      <w:pPr>
        <w:jc w:val="center"/>
        <w:rPr>
          <w:rFonts w:ascii="宋体" w:eastAsia="宋体" w:hAnsi="宋体"/>
          <w:b/>
          <w:sz w:val="44"/>
          <w:szCs w:val="44"/>
        </w:rPr>
      </w:pPr>
      <w:r w:rsidRPr="003178FB">
        <w:rPr>
          <w:rFonts w:ascii="宋体" w:eastAsia="宋体" w:hAnsi="宋体" w:hint="eastAsia"/>
          <w:b/>
          <w:sz w:val="44"/>
          <w:szCs w:val="44"/>
        </w:rPr>
        <w:t>大连商品交易所聚丙烯、线型低密度聚乙烯和聚氯乙烯</w:t>
      </w:r>
      <w:r>
        <w:rPr>
          <w:rFonts w:ascii="宋体" w:eastAsia="宋体" w:hAnsi="宋体" w:hint="eastAsia"/>
          <w:b/>
          <w:sz w:val="44"/>
          <w:szCs w:val="44"/>
        </w:rPr>
        <w:t>期货</w:t>
      </w:r>
      <w:r w:rsidRPr="003178FB">
        <w:rPr>
          <w:rFonts w:ascii="宋体" w:eastAsia="宋体" w:hAnsi="宋体" w:hint="eastAsia"/>
          <w:b/>
          <w:sz w:val="44"/>
          <w:szCs w:val="44"/>
        </w:rPr>
        <w:t>期权合约（征求意见稿）起草说明</w:t>
      </w:r>
    </w:p>
    <w:p w14:paraId="0A59FD64" w14:textId="77777777" w:rsidR="00396A21" w:rsidRPr="004D4EBF" w:rsidRDefault="00396A21" w:rsidP="00396A21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395AA518" w14:textId="77777777" w:rsidR="00396A21" w:rsidRPr="004D4EBF" w:rsidRDefault="00396A21" w:rsidP="00396A21">
      <w:pPr>
        <w:spacing w:line="580" w:lineRule="exact"/>
        <w:ind w:firstLine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4D4EBF">
        <w:rPr>
          <w:rFonts w:ascii="黑体" w:eastAsia="黑体" w:hAnsi="黑体" w:hint="eastAsia"/>
          <w:kern w:val="0"/>
          <w:sz w:val="32"/>
          <w:szCs w:val="32"/>
        </w:rPr>
        <w:t>一、合约标的</w:t>
      </w:r>
    </w:p>
    <w:p w14:paraId="657C534C" w14:textId="77777777" w:rsidR="00396A21" w:rsidRPr="004D4EBF" w:rsidRDefault="00396A21" w:rsidP="00396A21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聚丙烯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期权合约的标的物为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聚丙烯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期货合约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，线型低密度聚乙烯期权合约的标的物为线型低密度聚乙烯期货合约，聚氯乙烯期权合约的标的为聚氯乙烯期货合约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。与现货相比，商品期货标准化程度高，价格公开、透明、连续，更适于作为期权的标的物。</w:t>
      </w:r>
    </w:p>
    <w:p w14:paraId="6D9472AF" w14:textId="77777777" w:rsidR="00396A21" w:rsidRPr="004D4EBF" w:rsidRDefault="00396A21" w:rsidP="00396A21">
      <w:pPr>
        <w:spacing w:line="580" w:lineRule="exact"/>
        <w:ind w:firstLine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4D4EBF">
        <w:rPr>
          <w:rFonts w:ascii="黑体" w:eastAsia="黑体" w:hAnsi="黑体" w:hint="eastAsia"/>
          <w:kern w:val="0"/>
          <w:sz w:val="32"/>
          <w:szCs w:val="32"/>
        </w:rPr>
        <w:t>二、交易代码</w:t>
      </w:r>
    </w:p>
    <w:p w14:paraId="730088E0" w14:textId="77777777" w:rsidR="00396A21" w:rsidRPr="004D4EBF" w:rsidRDefault="00396A21" w:rsidP="00396A21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交易代码采用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PP(L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V)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-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合约月份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-C-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行权价格（看涨期权）、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PP(L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V)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-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合约月份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-P-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行权价格（看跌期权）的格式，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C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和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P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分别代表看涨期权和看跌期权的合约类型代码。如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PP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-200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-C-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000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，代表标的为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月交割的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聚丙烯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期货、行权价格为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000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吨的看涨期权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14:paraId="768FE964" w14:textId="77777777" w:rsidR="00396A21" w:rsidRPr="004D4EBF" w:rsidRDefault="00396A21" w:rsidP="00396A21">
      <w:pPr>
        <w:spacing w:line="580" w:lineRule="exact"/>
        <w:ind w:firstLine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4D4EBF">
        <w:rPr>
          <w:rFonts w:ascii="黑体" w:eastAsia="黑体" w:hAnsi="黑体" w:hint="eastAsia"/>
          <w:kern w:val="0"/>
          <w:sz w:val="32"/>
          <w:szCs w:val="32"/>
        </w:rPr>
        <w:t>三、交易单位</w:t>
      </w:r>
    </w:p>
    <w:p w14:paraId="09F99073" w14:textId="77777777" w:rsidR="00396A21" w:rsidRPr="0002407A" w:rsidRDefault="00396A21" w:rsidP="00396A21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期权交易单位是指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手期权合约对应标的期货合约的数量。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手聚丙烯期权对应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手（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吨）聚丙烯期货合约，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手线型低密度聚乙烯期权对应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手（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吨）线型低密度聚乙烯期货合约，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手聚氯乙烯期权对应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手（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吨）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聚氯乙烯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期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货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合约。</w:t>
      </w:r>
    </w:p>
    <w:p w14:paraId="46274DA4" w14:textId="77777777" w:rsidR="00396A21" w:rsidRPr="004D4EBF" w:rsidRDefault="00396A21" w:rsidP="00396A21">
      <w:pPr>
        <w:spacing w:line="580" w:lineRule="exact"/>
        <w:ind w:firstLine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4D4EBF">
        <w:rPr>
          <w:rFonts w:ascii="黑体" w:eastAsia="黑体" w:hAnsi="黑体" w:hint="eastAsia"/>
          <w:kern w:val="0"/>
          <w:sz w:val="32"/>
          <w:szCs w:val="32"/>
        </w:rPr>
        <w:t>四、报价单位</w:t>
      </w:r>
    </w:p>
    <w:p w14:paraId="6CDA5974" w14:textId="77777777" w:rsidR="00396A21" w:rsidRPr="00E33A36" w:rsidRDefault="00396A21" w:rsidP="00396A21">
      <w:pPr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聚丙烯</w:t>
      </w:r>
      <w:r w:rsidRPr="00E33A36">
        <w:rPr>
          <w:rFonts w:ascii="仿宋_GB2312" w:eastAsia="仿宋_GB2312" w:hAnsi="仿宋" w:cs="仿宋_GB2312" w:hint="eastAsia"/>
          <w:sz w:val="32"/>
          <w:szCs w:val="32"/>
        </w:rPr>
        <w:t>期权</w:t>
      </w:r>
      <w:r>
        <w:rPr>
          <w:rFonts w:ascii="仿宋_GB2312" w:eastAsia="仿宋_GB2312" w:hAnsi="仿宋" w:cs="仿宋_GB2312" w:hint="eastAsia"/>
          <w:sz w:val="32"/>
          <w:szCs w:val="32"/>
        </w:rPr>
        <w:t>、线型低密度聚乙烯期权和聚氯乙烯期权的合约报价单位</w:t>
      </w:r>
      <w:r w:rsidRPr="00E33A36">
        <w:rPr>
          <w:rFonts w:ascii="仿宋_GB2312" w:eastAsia="仿宋_GB2312" w:hAnsi="仿宋" w:cs="仿宋_GB2312" w:hint="eastAsia"/>
          <w:sz w:val="32"/>
          <w:szCs w:val="32"/>
        </w:rPr>
        <w:t>与</w:t>
      </w:r>
      <w:r>
        <w:rPr>
          <w:rFonts w:ascii="仿宋_GB2312" w:eastAsia="仿宋_GB2312" w:hAnsi="仿宋" w:cs="仿宋_GB2312" w:hint="eastAsia"/>
          <w:sz w:val="32"/>
          <w:szCs w:val="32"/>
        </w:rPr>
        <w:t>各自</w:t>
      </w:r>
      <w:r w:rsidRPr="00E33A36">
        <w:rPr>
          <w:rFonts w:ascii="仿宋_GB2312" w:eastAsia="仿宋_GB2312" w:hAnsi="仿宋" w:cs="仿宋_GB2312" w:hint="eastAsia"/>
          <w:sz w:val="32"/>
          <w:szCs w:val="32"/>
        </w:rPr>
        <w:t>标的期货合约一致，为元（人民币）/吨。</w:t>
      </w:r>
    </w:p>
    <w:p w14:paraId="0FA69EEB" w14:textId="77777777" w:rsidR="00396A21" w:rsidRPr="004D4EBF" w:rsidRDefault="00396A21" w:rsidP="00396A21">
      <w:pPr>
        <w:spacing w:line="580" w:lineRule="exact"/>
        <w:ind w:firstLine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4D4EBF">
        <w:rPr>
          <w:rFonts w:ascii="黑体" w:eastAsia="黑体" w:hAnsi="黑体" w:hint="eastAsia"/>
          <w:kern w:val="0"/>
          <w:sz w:val="32"/>
          <w:szCs w:val="32"/>
        </w:rPr>
        <w:t>五、最小变动价位</w:t>
      </w:r>
    </w:p>
    <w:p w14:paraId="062B66E1" w14:textId="77777777" w:rsidR="00396A21" w:rsidRPr="004D4EBF" w:rsidRDefault="00396A21" w:rsidP="00396A21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最小变动价位是指该期权合约单位价格涨跌变动的最小值。从已上市期权品种运行情况来看，通常浅虚值期权合约较为活跃，其价格波动小于标的期货的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1/2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，设置较小的最小变动价位，有利于提高报价精度，使期权价格能够及时、有效反映标的期货价格的变动。因此，聚丙烯、线型低密度聚乙烯和聚氯乙烯期权最小变动价位均设置为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0.5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/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吨，与标的期货最小变动价位的比例不超过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1/2</w:t>
      </w:r>
      <w:r w:rsidRPr="0002407A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14:paraId="4A16807B" w14:textId="77777777" w:rsidR="00396A21" w:rsidRPr="004D4EBF" w:rsidRDefault="00396A21" w:rsidP="00396A21">
      <w:pPr>
        <w:spacing w:line="580" w:lineRule="exact"/>
        <w:ind w:firstLine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4D4EBF">
        <w:rPr>
          <w:rFonts w:ascii="黑体" w:eastAsia="黑体" w:hAnsi="黑体" w:hint="eastAsia"/>
          <w:kern w:val="0"/>
          <w:sz w:val="32"/>
          <w:szCs w:val="32"/>
        </w:rPr>
        <w:t>六、涨跌停板幅度</w:t>
      </w:r>
    </w:p>
    <w:p w14:paraId="5C4BD81B" w14:textId="77777777" w:rsidR="00396A21" w:rsidRPr="004D4EBF" w:rsidRDefault="00396A21" w:rsidP="00396A21">
      <w:pPr>
        <w:spacing w:line="580" w:lineRule="exact"/>
        <w:ind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涨跌停板幅度是指期权合约在一个交易日中上涨或下跌的最大值。</w:t>
      </w:r>
      <w:r w:rsidRPr="00E33A36">
        <w:rPr>
          <w:rFonts w:ascii="仿宋_GB2312" w:eastAsia="仿宋_GB2312" w:hAnsi="仿宋" w:cs="仿宋_GB2312" w:hint="eastAsia"/>
          <w:sz w:val="32"/>
          <w:szCs w:val="32"/>
        </w:rPr>
        <w:t>我所</w:t>
      </w:r>
      <w:r>
        <w:rPr>
          <w:rFonts w:ascii="仿宋_GB2312" w:eastAsia="仿宋_GB2312" w:hAnsi="仿宋" w:cs="仿宋_GB2312" w:hint="eastAsia"/>
          <w:sz w:val="32"/>
          <w:szCs w:val="32"/>
        </w:rPr>
        <w:t>聚丙烯、线型低密度聚乙烯和聚氯乙烯期权</w:t>
      </w:r>
      <w:r w:rsidRPr="00E33A36">
        <w:rPr>
          <w:rFonts w:ascii="仿宋_GB2312" w:eastAsia="仿宋_GB2312" w:hAnsi="仿宋" w:cs="仿宋_GB2312" w:hint="eastAsia"/>
          <w:sz w:val="32"/>
          <w:szCs w:val="32"/>
        </w:rPr>
        <w:t>合约涨跌停板幅度与</w:t>
      </w:r>
      <w:r>
        <w:rPr>
          <w:rFonts w:ascii="仿宋_GB2312" w:eastAsia="仿宋_GB2312" w:hAnsi="仿宋" w:cs="仿宋_GB2312" w:hint="eastAsia"/>
          <w:sz w:val="32"/>
          <w:szCs w:val="32"/>
        </w:rPr>
        <w:t>各自</w:t>
      </w:r>
      <w:r w:rsidRPr="00E33A36">
        <w:rPr>
          <w:rFonts w:ascii="仿宋_GB2312" w:eastAsia="仿宋_GB2312" w:hAnsi="仿宋" w:cs="仿宋_GB2312" w:hint="eastAsia"/>
          <w:sz w:val="32"/>
          <w:szCs w:val="32"/>
        </w:rPr>
        <w:t>标的期货合约涨跌停板幅度相同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。当期权价格小于停板幅度时，跌停板价格取期权合约的最小变动价位。</w:t>
      </w:r>
    </w:p>
    <w:p w14:paraId="64AE7373" w14:textId="77777777" w:rsidR="00396A21" w:rsidRPr="004D4EBF" w:rsidRDefault="00396A21" w:rsidP="00396A21">
      <w:pPr>
        <w:spacing w:line="580" w:lineRule="exact"/>
        <w:ind w:firstLine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4D4EBF">
        <w:rPr>
          <w:rFonts w:ascii="黑体" w:eastAsia="黑体" w:hAnsi="黑体" w:hint="eastAsia"/>
          <w:kern w:val="0"/>
          <w:sz w:val="32"/>
          <w:szCs w:val="32"/>
        </w:rPr>
        <w:t>七、行权方式</w:t>
      </w:r>
    </w:p>
    <w:p w14:paraId="138FF559" w14:textId="77777777" w:rsidR="00396A21" w:rsidRPr="004D4EBF" w:rsidRDefault="00396A21" w:rsidP="00396A21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聚丙烯、线型低密度聚乙烯和聚氯乙烯期货期权均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是美式期权，买方在合约到期日及其之前任一交易日均可行使权利。美式期权行权灵活便利，可以降低期权集中到期行权对标的市场运行的影响，是国际市场商品期货期权的主流行权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方式。</w:t>
      </w:r>
    </w:p>
    <w:p w14:paraId="14C40065" w14:textId="77777777" w:rsidR="00396A21" w:rsidRPr="004D4EBF" w:rsidRDefault="00396A21" w:rsidP="00396A21">
      <w:pPr>
        <w:spacing w:line="580" w:lineRule="exact"/>
        <w:ind w:firstLine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4D4EBF">
        <w:rPr>
          <w:rFonts w:ascii="黑体" w:eastAsia="黑体" w:hAnsi="黑体" w:hint="eastAsia"/>
          <w:kern w:val="0"/>
          <w:sz w:val="32"/>
          <w:szCs w:val="32"/>
        </w:rPr>
        <w:t>八、合约月份</w:t>
      </w:r>
    </w:p>
    <w:p w14:paraId="3E4FEAD9" w14:textId="77777777" w:rsidR="00396A21" w:rsidRPr="004D4EBF" w:rsidRDefault="00396A21" w:rsidP="00396A21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4D4EBF">
        <w:rPr>
          <w:rFonts w:ascii="仿宋_GB2312" w:eastAsia="仿宋_GB2312" w:hAnsi="Calibri" w:hint="eastAsia"/>
          <w:kern w:val="0"/>
          <w:sz w:val="32"/>
          <w:szCs w:val="32"/>
        </w:rPr>
        <w:t>合约月份是指期权合约对应的标的期货合约的交割月份。</w:t>
      </w:r>
      <w:r>
        <w:rPr>
          <w:rFonts w:ascii="仿宋_GB2312" w:eastAsia="仿宋_GB2312" w:hAnsi="仿宋" w:cs="仿宋_GB2312" w:hint="eastAsia"/>
          <w:sz w:val="32"/>
          <w:szCs w:val="32"/>
        </w:rPr>
        <w:t>聚丙烯、线型低密度聚乙烯和聚氯乙烯期权</w:t>
      </w:r>
      <w:r w:rsidRPr="004D4EBF">
        <w:rPr>
          <w:rFonts w:ascii="仿宋_GB2312" w:eastAsia="仿宋_GB2312" w:hAnsi="Calibri" w:hint="eastAsia"/>
          <w:kern w:val="0"/>
          <w:sz w:val="32"/>
          <w:szCs w:val="32"/>
        </w:rPr>
        <w:t>合约月份</w:t>
      </w:r>
      <w:r>
        <w:rPr>
          <w:rFonts w:ascii="仿宋_GB2312" w:eastAsia="仿宋_GB2312" w:hAnsi="Calibri" w:hint="eastAsia"/>
          <w:kern w:val="0"/>
          <w:sz w:val="32"/>
          <w:szCs w:val="32"/>
        </w:rPr>
        <w:t>均</w:t>
      </w:r>
      <w:r w:rsidRPr="004D4EBF">
        <w:rPr>
          <w:rFonts w:ascii="仿宋_GB2312" w:eastAsia="仿宋_GB2312" w:hAnsi="Calibri" w:hint="eastAsia"/>
          <w:kern w:val="0"/>
          <w:sz w:val="32"/>
          <w:szCs w:val="32"/>
        </w:rPr>
        <w:t>为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5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6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7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9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10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11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12</w:t>
      </w:r>
      <w:r w:rsidRPr="0002407A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4D4EBF">
        <w:rPr>
          <w:rFonts w:ascii="仿宋_GB2312" w:eastAsia="仿宋_GB2312" w:hAnsi="Calibri" w:hint="eastAsia"/>
          <w:kern w:val="0"/>
          <w:sz w:val="32"/>
          <w:szCs w:val="32"/>
        </w:rPr>
        <w:t>，与</w:t>
      </w:r>
      <w:r>
        <w:rPr>
          <w:rFonts w:ascii="仿宋_GB2312" w:eastAsia="仿宋_GB2312" w:hAnsi="Calibri" w:hint="eastAsia"/>
          <w:kern w:val="0"/>
          <w:sz w:val="32"/>
          <w:szCs w:val="32"/>
        </w:rPr>
        <w:t>各</w:t>
      </w:r>
      <w:r w:rsidRPr="004D4EBF">
        <w:rPr>
          <w:rFonts w:ascii="仿宋_GB2312" w:eastAsia="仿宋_GB2312" w:hAnsi="Calibri" w:hint="eastAsia"/>
          <w:kern w:val="0"/>
          <w:sz w:val="32"/>
          <w:szCs w:val="32"/>
        </w:rPr>
        <w:t>标的期货合约月份一致。期货合约的所有月份均有对应的期权合约，便于每一期货合约都有可选择的期权合约进行套期保值和策略组合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14:paraId="1AF15D9A" w14:textId="77777777" w:rsidR="00396A21" w:rsidRPr="004D4EBF" w:rsidRDefault="00396A21" w:rsidP="00396A21">
      <w:pPr>
        <w:spacing w:line="580" w:lineRule="exact"/>
        <w:ind w:firstLine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4D4EBF">
        <w:rPr>
          <w:rFonts w:ascii="黑体" w:eastAsia="黑体" w:hAnsi="黑体" w:hint="eastAsia"/>
          <w:kern w:val="0"/>
          <w:sz w:val="32"/>
          <w:szCs w:val="32"/>
        </w:rPr>
        <w:t>九、行权价格</w:t>
      </w:r>
    </w:p>
    <w:p w14:paraId="38A09D76" w14:textId="77777777" w:rsidR="00396A21" w:rsidRPr="004D4EBF" w:rsidRDefault="00396A21" w:rsidP="00396A21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期权行权价格是指由期权合约规定的，买方有权在将来某一时间买入或者卖出标的期货合约的价格。期权行权价格覆盖的范围应该适当宽泛，即便在期货价格波动较大时，仍然能够满足投资者对平值、实值、虚值期权的避险需求。在一定范围内，期权的行权价格数量应当适量，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数量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过多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会分散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单一期权合约的流动性，过少则可能导致缺乏相应合约构建策略组合。</w:t>
      </w:r>
    </w:p>
    <w:p w14:paraId="04C57A68" w14:textId="722BF814" w:rsidR="00396A21" w:rsidRPr="004D4EBF" w:rsidRDefault="00396A21" w:rsidP="00396A21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随着期货价格的变动，到期日前的每一个交易日我所将根据上一交易日标的期货</w:t>
      </w:r>
      <w:r w:rsidR="00E92A8E">
        <w:rPr>
          <w:rFonts w:ascii="仿宋_GB2312" w:eastAsia="仿宋_GB2312" w:hAnsi="Times New Roman" w:hint="eastAsia"/>
          <w:kern w:val="0"/>
          <w:sz w:val="32"/>
          <w:szCs w:val="32"/>
        </w:rPr>
        <w:t>合约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结算价上下浮动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1.5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倍当日涨跌停板幅度对应的价格范围，增挂新行权价格的期</w:t>
      </w:r>
      <w:bookmarkStart w:id="0" w:name="_GoBack"/>
      <w:bookmarkEnd w:id="0"/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权合约，满足投资者多样化避险需求。</w:t>
      </w:r>
    </w:p>
    <w:p w14:paraId="26F5A6A6" w14:textId="77777777" w:rsidR="00396A21" w:rsidRPr="004D4EBF" w:rsidRDefault="00396A21" w:rsidP="00396A21">
      <w:pPr>
        <w:spacing w:line="580" w:lineRule="exact"/>
        <w:ind w:firstLine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4D4EBF">
        <w:rPr>
          <w:rFonts w:ascii="黑体" w:eastAsia="黑体" w:hAnsi="黑体" w:hint="eastAsia"/>
          <w:kern w:val="0"/>
          <w:sz w:val="32"/>
          <w:szCs w:val="32"/>
        </w:rPr>
        <w:t>十、行权价格间距</w:t>
      </w:r>
    </w:p>
    <w:p w14:paraId="3906F0FE" w14:textId="77777777" w:rsidR="00396A21" w:rsidRPr="004D4EBF" w:rsidRDefault="00396A21" w:rsidP="00396A21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行权价格间距是指相邻两个行权价格之间的差。从</w:t>
      </w:r>
      <w:r>
        <w:rPr>
          <w:rFonts w:ascii="仿宋_GB2312" w:eastAsia="仿宋_GB2312" w:hAnsi="仿宋" w:cs="仿宋_GB2312" w:hint="eastAsia"/>
          <w:sz w:val="32"/>
          <w:szCs w:val="32"/>
        </w:rPr>
        <w:t>聚丙烯、线型低密度聚乙烯和聚氯乙烯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期货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历史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数据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来看，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三个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化工品期货价格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主要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000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吨至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000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吨区间内波动。我所采用分段式行权价格间距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的方式，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三个化工品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期权行权价格小于等于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000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吨时，行权价格间距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均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50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吨；行权价格大于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000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吨且小于等于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000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吨时，行权价格间距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均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0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吨；行权价格大于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100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00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吨时，行权价格间距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均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00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 w:rsidRPr="004D4EBF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4D4EBF">
        <w:rPr>
          <w:rFonts w:ascii="Times New Roman" w:eastAsia="仿宋_GB2312" w:hAnsi="Times New Roman" w:hint="eastAsia"/>
          <w:kern w:val="0"/>
          <w:sz w:val="32"/>
          <w:szCs w:val="32"/>
        </w:rPr>
        <w:t>吨。</w:t>
      </w:r>
    </w:p>
    <w:p w14:paraId="5A580D13" w14:textId="77777777" w:rsidR="00396A21" w:rsidRPr="004D4EBF" w:rsidRDefault="00396A21" w:rsidP="00396A21">
      <w:pPr>
        <w:spacing w:line="580" w:lineRule="exact"/>
        <w:ind w:firstLine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4D4EBF">
        <w:rPr>
          <w:rFonts w:ascii="黑体" w:eastAsia="黑体" w:hAnsi="黑体" w:hint="eastAsia"/>
          <w:kern w:val="0"/>
          <w:sz w:val="32"/>
          <w:szCs w:val="32"/>
        </w:rPr>
        <w:t>十一、交易时间</w:t>
      </w:r>
    </w:p>
    <w:p w14:paraId="7EFA72B5" w14:textId="77777777" w:rsidR="00396A21" w:rsidRPr="004D4EBF" w:rsidRDefault="00396A21" w:rsidP="00396A21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聚丙烯、线型低密度聚乙烯和聚氯乙烯期权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交易时间与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各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标的期货一致。</w:t>
      </w:r>
    </w:p>
    <w:p w14:paraId="690F7DAA" w14:textId="77777777" w:rsidR="00396A21" w:rsidRPr="004D4EBF" w:rsidRDefault="00396A21" w:rsidP="00396A21">
      <w:pPr>
        <w:spacing w:line="580" w:lineRule="exact"/>
        <w:ind w:firstLine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4D4EBF">
        <w:rPr>
          <w:rFonts w:ascii="黑体" w:eastAsia="黑体" w:hAnsi="黑体" w:hint="eastAsia"/>
          <w:kern w:val="0"/>
          <w:sz w:val="32"/>
          <w:szCs w:val="32"/>
        </w:rPr>
        <w:t>十二、最后交易日与到期日</w:t>
      </w:r>
    </w:p>
    <w:p w14:paraId="1254E2F7" w14:textId="77777777" w:rsidR="00396A21" w:rsidRPr="004D4EBF" w:rsidRDefault="00396A21" w:rsidP="00396A21">
      <w:pPr>
        <w:spacing w:line="580" w:lineRule="exact"/>
        <w:ind w:firstLineChars="200" w:firstLine="640"/>
        <w:rPr>
          <w:rFonts w:ascii="Times New Roman" w:eastAsia="仿宋_GB2312" w:hAnsi="Times New Roman"/>
          <w:b/>
          <w:sz w:val="32"/>
          <w:szCs w:val="32"/>
        </w:rPr>
      </w:pPr>
      <w:r w:rsidRPr="004D4EBF">
        <w:rPr>
          <w:rFonts w:ascii="仿宋_GB2312" w:eastAsia="仿宋_GB2312" w:hAnsi="Calibri" w:hint="eastAsia"/>
          <w:kern w:val="0"/>
          <w:sz w:val="32"/>
          <w:szCs w:val="32"/>
        </w:rPr>
        <w:t>最后交易日是指期权合约可以进行交易的最后一个交易日，到期日同最后交易日。为保证期权买方（卖方）在最后交易日能够顺利行权（履约），同时保证到期日后有充裕的时间对行权（履约）获得的期货持仓进行了结，</w:t>
      </w:r>
      <w:r>
        <w:rPr>
          <w:rFonts w:ascii="仿宋_GB2312" w:eastAsia="仿宋_GB2312" w:hAnsi="仿宋" w:cs="仿宋_GB2312" w:hint="eastAsia"/>
          <w:sz w:val="32"/>
          <w:szCs w:val="32"/>
        </w:rPr>
        <w:t>聚丙烯、线型低密度聚乙烯和聚氯乙烯</w:t>
      </w:r>
      <w:r w:rsidRPr="004D4EBF">
        <w:rPr>
          <w:rFonts w:ascii="仿宋_GB2312" w:eastAsia="仿宋_GB2312" w:hAnsi="Calibri" w:hint="eastAsia"/>
          <w:kern w:val="0"/>
          <w:sz w:val="32"/>
          <w:szCs w:val="32"/>
        </w:rPr>
        <w:t>期权</w:t>
      </w:r>
      <w:r>
        <w:rPr>
          <w:rFonts w:ascii="仿宋_GB2312" w:eastAsia="仿宋_GB2312" w:hAnsi="Calibri" w:hint="eastAsia"/>
          <w:kern w:val="0"/>
          <w:sz w:val="32"/>
          <w:szCs w:val="32"/>
        </w:rPr>
        <w:t>合约</w:t>
      </w:r>
      <w:r w:rsidRPr="004D4EBF">
        <w:rPr>
          <w:rFonts w:ascii="仿宋_GB2312" w:eastAsia="仿宋_GB2312" w:hAnsi="Calibri" w:hint="eastAsia"/>
          <w:kern w:val="0"/>
          <w:sz w:val="32"/>
          <w:szCs w:val="32"/>
        </w:rPr>
        <w:t>最后交易日设定为</w:t>
      </w:r>
      <w:r>
        <w:rPr>
          <w:rFonts w:ascii="仿宋_GB2312" w:eastAsia="仿宋_GB2312" w:hAnsi="Calibri" w:hint="eastAsia"/>
          <w:kern w:val="0"/>
          <w:sz w:val="32"/>
          <w:szCs w:val="32"/>
        </w:rPr>
        <w:t>各</w:t>
      </w:r>
      <w:r w:rsidRPr="004D4EBF">
        <w:rPr>
          <w:rFonts w:ascii="仿宋_GB2312" w:eastAsia="仿宋_GB2312" w:hAnsi="Calibri" w:hint="eastAsia"/>
          <w:kern w:val="0"/>
          <w:sz w:val="32"/>
          <w:szCs w:val="32"/>
        </w:rPr>
        <w:t>标的期货合约交割月份前一个月的第5个交易日</w:t>
      </w:r>
      <w:r w:rsidRPr="004D4EBF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14:paraId="5D93C90A" w14:textId="77777777" w:rsidR="00396A21" w:rsidRPr="0040289D" w:rsidRDefault="00396A21" w:rsidP="00396A21">
      <w:pPr>
        <w:rPr>
          <w:rFonts w:ascii="宋体" w:eastAsia="宋体" w:hAnsi="宋体"/>
          <w:b/>
          <w:sz w:val="44"/>
          <w:szCs w:val="44"/>
        </w:rPr>
      </w:pPr>
    </w:p>
    <w:p w14:paraId="09945E07" w14:textId="77777777" w:rsidR="00396A21" w:rsidRPr="0002407A" w:rsidRDefault="00396A21" w:rsidP="00396A21"/>
    <w:p w14:paraId="1BE7DA68" w14:textId="77777777" w:rsidR="0020421D" w:rsidRPr="00396A21" w:rsidRDefault="0020421D"/>
    <w:sectPr w:rsidR="0020421D" w:rsidRPr="00396A21" w:rsidSect="00827F7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C85F3" w14:textId="77777777" w:rsidR="00396A21" w:rsidRDefault="00396A21" w:rsidP="00396A21">
      <w:r>
        <w:separator/>
      </w:r>
    </w:p>
  </w:endnote>
  <w:endnote w:type="continuationSeparator" w:id="0">
    <w:p w14:paraId="4B209F18" w14:textId="77777777" w:rsidR="00396A21" w:rsidRDefault="00396A21" w:rsidP="0039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3605" w14:textId="59A49729" w:rsidR="00827F7B" w:rsidRDefault="00396A2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0726" w:rsidRPr="00F80726">
      <w:rPr>
        <w:noProof/>
        <w:lang w:val="zh-CN"/>
      </w:rPr>
      <w:t>4</w:t>
    </w:r>
    <w:r>
      <w:fldChar w:fldCharType="end"/>
    </w:r>
  </w:p>
  <w:p w14:paraId="516C182F" w14:textId="77777777" w:rsidR="00827F7B" w:rsidRDefault="00F80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3E44" w14:textId="77777777" w:rsidR="00396A21" w:rsidRDefault="00396A21" w:rsidP="00396A21">
      <w:r>
        <w:separator/>
      </w:r>
    </w:p>
  </w:footnote>
  <w:footnote w:type="continuationSeparator" w:id="0">
    <w:p w14:paraId="5A6461FE" w14:textId="77777777" w:rsidR="00396A21" w:rsidRDefault="00396A21" w:rsidP="0039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6F"/>
    <w:rsid w:val="0020421D"/>
    <w:rsid w:val="00396A21"/>
    <w:rsid w:val="004F1581"/>
    <w:rsid w:val="00A4146F"/>
    <w:rsid w:val="00E35067"/>
    <w:rsid w:val="00E92A8E"/>
    <w:rsid w:val="00F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516D4"/>
  <w15:chartTrackingRefBased/>
  <w15:docId w15:val="{4824417F-250C-4AFC-B222-04882AB9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2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A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EDBCE-2BE3-4306-A14D-CFBADFE18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8368D-04AA-4AD7-B46E-8EC9062FC8AD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f16167e-0980-47ed-bfa9-106d2637988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D27492-52BC-4583-8657-755512936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781</Words>
  <Characters>961</Characters>
  <Application>Microsoft Office Word</Application>
  <DocSecurity>0</DocSecurity>
  <Lines>120</Lines>
  <Paragraphs>102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4</cp:revision>
  <dcterms:created xsi:type="dcterms:W3CDTF">2020-05-25T11:06:00Z</dcterms:created>
  <dcterms:modified xsi:type="dcterms:W3CDTF">2020-05-25T11:32:00Z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