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/>
        <w:keepLines/>
        <w:suppressAutoHyphens/>
        <w:snapToGrid w:val="0"/>
        <w:jc w:val="center"/>
        <w:outlineLvl w:val="0"/>
        <w:rPr>
          <w:rFonts w:hint="default" w:ascii="Times New Roman" w:hAnsi="Times New Roman" w:eastAsia="方正小标宋简体" w:cs="Times New Roman"/>
          <w:kern w:val="44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kern w:val="44"/>
          <w:sz w:val="44"/>
          <w:szCs w:val="32"/>
        </w:rPr>
        <w:t>《郑州商品交易所纯碱期货业务细则》</w:t>
      </w:r>
    </w:p>
    <w:p>
      <w:pPr>
        <w:keepNext/>
        <w:keepLines/>
        <w:suppressAutoHyphens/>
        <w:snapToGrid w:val="0"/>
        <w:jc w:val="center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44"/>
          <w:sz w:val="44"/>
          <w:szCs w:val="32"/>
        </w:rPr>
        <w:t>修订案</w:t>
      </w:r>
    </w:p>
    <w:p>
      <w:pPr>
        <w:widowControl/>
        <w:suppressAutoHyphens/>
        <w:snapToGrid w:val="0"/>
        <w:spacing w:line="360" w:lineRule="auto"/>
        <w:ind w:firstLine="560" w:firstLineChars="20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202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年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月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日郑州商品交易所第七届理事会第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三十一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次会议审议通过，自纯碱期货2406合约起施行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eastAsia="zh-CN"/>
        </w:rPr>
        <w:t>）</w:t>
      </w:r>
    </w:p>
    <w:p>
      <w:pPr>
        <w:widowControl/>
        <w:suppressAutoHyphens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uppressAutoHyphens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对《郑州商品交易所</w:t>
      </w:r>
      <w:r>
        <w:rPr>
          <w:rFonts w:hint="default" w:ascii="Times New Roman" w:hAnsi="Times New Roman" w:eastAsia="仿宋" w:cs="Times New Roman"/>
          <w:sz w:val="32"/>
          <w:szCs w:val="32"/>
        </w:rPr>
        <w:t>纯碱期货业务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细则》作如下修订：</w:t>
      </w:r>
    </w:p>
    <w:p>
      <w:pPr>
        <w:widowControl/>
        <w:suppressAutoHyphens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将第二十四条修改为：“基准交割品：符合《中华人民共和国国家标准 工业碳酸钠》（GB/T 210-2022，以下简称《纯碱国标》）II类优等品的重质纯碱，且氯化钠含量（以干基的NaCl的质量分数计）≤0.6%。”</w:t>
      </w:r>
    </w:p>
    <w:p>
      <w:pPr>
        <w:widowControl/>
        <w:suppressAutoHyphens/>
        <w:snapToGrid w:val="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br w:type="page"/>
      </w:r>
    </w:p>
    <w:p>
      <w:pPr>
        <w:suppressAutoHyphens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《郑州商品交易所纯碱期货业务细则》</w:t>
      </w:r>
    </w:p>
    <w:p>
      <w:pPr>
        <w:suppressAutoHyphens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修订条款对照表</w:t>
      </w:r>
    </w:p>
    <w:p>
      <w:pPr>
        <w:suppressAutoHyphens/>
        <w:snapToGrid w:val="0"/>
        <w:spacing w:line="360" w:lineRule="auto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suppressAutoHyphens/>
        <w:snapToGrid w:val="0"/>
        <w:spacing w:line="360" w:lineRule="auto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（删除线部分为删除，下划线加粗部分为修改增加）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4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/>
          </w:tcPr>
          <w:p>
            <w:pPr>
              <w:suppressAutoHyphens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>现行条文</w:t>
            </w:r>
          </w:p>
        </w:tc>
        <w:tc>
          <w:tcPr>
            <w:tcW w:w="2500" w:type="pct"/>
            <w:noWrap/>
          </w:tcPr>
          <w:p>
            <w:pPr>
              <w:suppressAutoHyphens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>修订后条文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/>
          </w:tcPr>
          <w:p>
            <w:pPr>
              <w:suppressAutoHyphens/>
              <w:snapToGrid w:val="0"/>
              <w:spacing w:line="360" w:lineRule="auto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32"/>
              </w:rPr>
              <w:t>第二十四条</w:t>
            </w:r>
            <w:r>
              <w:rPr>
                <w:rFonts w:hint="eastAsia" w:eastAsia="仿宋" w:cs="Times New Roman"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>基准交割品：符合《中华人民共和国国家标准 工业碳酸钠及其实验方法第1部分：工业碳酸钠》（GB/T 210.1-2004，以下简称《纯碱国标》）II类优等品的重质纯碱，且氯化钠含量（以干基的NaCl的质量分数计）≤0.6%。</w:t>
            </w:r>
          </w:p>
        </w:tc>
        <w:tc>
          <w:tcPr>
            <w:tcW w:w="2500" w:type="pct"/>
            <w:noWrap/>
          </w:tcPr>
          <w:p>
            <w:pPr>
              <w:suppressAutoHyphens/>
              <w:snapToGrid w:val="0"/>
              <w:spacing w:line="360" w:lineRule="auto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 xml:space="preserve">第二十四条 基准交割品：符合《中华人民共和国国家标准 </w:t>
            </w:r>
            <w:r>
              <w:rPr>
                <w:rFonts w:hint="default" w:ascii="Times New Roman" w:hAnsi="Times New Roman" w:eastAsia="仿宋" w:cs="Times New Roman"/>
                <w:b/>
                <w:bCs/>
                <w:strike/>
                <w:sz w:val="24"/>
                <w:szCs w:val="32"/>
              </w:rPr>
              <w:t>工业碳酸钠及其实验方法第1部分：</w:t>
            </w: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>工业碳酸钠》（</w:t>
            </w:r>
            <w:r>
              <w:rPr>
                <w:rFonts w:hint="default" w:ascii="Times New Roman" w:hAnsi="Times New Roman" w:eastAsia="仿宋" w:cs="Times New Roman"/>
                <w:b/>
                <w:bCs/>
                <w:strike/>
                <w:sz w:val="24"/>
                <w:szCs w:val="32"/>
              </w:rPr>
              <w:t>GB/T 210.1-2004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32"/>
                <w:u w:val="single"/>
              </w:rPr>
              <w:t>GB/T 210-2022</w:t>
            </w:r>
            <w:r>
              <w:rPr>
                <w:rFonts w:hint="default" w:ascii="Times New Roman" w:hAnsi="Times New Roman" w:eastAsia="仿宋" w:cs="Times New Roman"/>
                <w:sz w:val="24"/>
                <w:szCs w:val="32"/>
              </w:rPr>
              <w:t>，以下简称《纯碱国标》）II类优等品的重质纯碱，且氯化钠含量（以干基的NaCl的质量分数计）≤0.6%。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46DE"/>
    <w:rsid w:val="02220782"/>
    <w:rsid w:val="0BE4564E"/>
    <w:rsid w:val="0EB17C89"/>
    <w:rsid w:val="1829275F"/>
    <w:rsid w:val="182A1252"/>
    <w:rsid w:val="1A4D0317"/>
    <w:rsid w:val="232846DE"/>
    <w:rsid w:val="27355C36"/>
    <w:rsid w:val="29DC6918"/>
    <w:rsid w:val="364D5A11"/>
    <w:rsid w:val="42BC2D37"/>
    <w:rsid w:val="4CCE778A"/>
    <w:rsid w:val="51BF2250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2023-05-11T03:13:00Z</dcterms:created>
  <dc:creator>仇一萌</dc:creator>
  <cp:lastModifiedBy>仇一萌</cp:lastModifiedBy>
  <dcterms:modified xsi:type="dcterms:W3CDTF">2023-05-11T03:14:15Z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C1BC677F845C4B819DB16FA891992DAB</vt:lpwstr>
  </property>
</Properties>
</file>