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“华安证券杯”安徽省大学生金融知识大赛</w:t>
      </w:r>
    </w:p>
    <w:p>
      <w:pPr>
        <w:widowControl/>
        <w:spacing w:line="560" w:lineRule="exact"/>
        <w:ind w:firstLine="640" w:firstLineChars="200"/>
        <w:rPr>
          <w:rFonts w:hint="eastAsia" w:ascii="Times New Roman" w:hAnsi="Times New Roman" w:eastAsia="仿宋_GB2312" w:cs="Times New Roman"/>
          <w:sz w:val="32"/>
          <w:szCs w:val="32"/>
          <w:lang w:val="en-US" w:eastAsia="zh-CN"/>
        </w:rPr>
      </w:pPr>
    </w:p>
    <w:p>
      <w:pPr>
        <w:widowControl/>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bidi="ar"/>
        </w:rPr>
        <w:t>华安证券</w:t>
      </w:r>
      <w:r>
        <w:rPr>
          <w:rFonts w:ascii="Times New Roman" w:hAnsi="Times New Roman" w:eastAsia="仿宋_GB2312" w:cs="Times New Roman"/>
          <w:kern w:val="0"/>
          <w:sz w:val="32"/>
          <w:szCs w:val="32"/>
          <w:lang w:bidi="ar"/>
        </w:rPr>
        <w:t>联合共青团安徽省委</w:t>
      </w:r>
      <w:r>
        <w:rPr>
          <w:rFonts w:hint="eastAsia" w:ascii="Times New Roman" w:hAnsi="Times New Roman" w:eastAsia="仿宋_GB2312" w:cs="Times New Roman"/>
          <w:b/>
          <w:bCs/>
          <w:sz w:val="32"/>
          <w:szCs w:val="32"/>
          <w:lang w:val="en-US" w:eastAsia="zh-CN"/>
        </w:rPr>
        <w:t>连续两年</w:t>
      </w:r>
      <w:r>
        <w:rPr>
          <w:rFonts w:ascii="Times New Roman" w:hAnsi="Times New Roman" w:eastAsia="仿宋_GB2312" w:cs="Times New Roman"/>
          <w:sz w:val="32"/>
          <w:szCs w:val="32"/>
        </w:rPr>
        <w:t>持续举办“华安证券杯”安徽省大学生金融知识大赛</w:t>
      </w:r>
      <w:r>
        <w:rPr>
          <w:rFonts w:hint="eastAsia" w:ascii="仿宋_GB2312" w:hAnsi="仿宋_GB2312" w:eastAsia="仿宋_GB2312" w:cs="仿宋_GB2312"/>
          <w:sz w:val="32"/>
          <w:szCs w:val="32"/>
        </w:rPr>
        <w:t>，</w:t>
      </w:r>
      <w:r>
        <w:rPr>
          <w:rFonts w:ascii="Times New Roman" w:hAnsi="Times New Roman" w:eastAsia="仿宋_GB2312" w:cs="Times New Roman"/>
          <w:kern w:val="0"/>
          <w:sz w:val="32"/>
          <w:szCs w:val="32"/>
        </w:rPr>
        <w:t>以丰富多彩的比赛形式和宣教活动，帮助广大青年学生树立理性消费、理性投资理念，强化风险识别能力和投资价值判断能力，营造良好的校园金融环境。</w:t>
      </w:r>
    </w:p>
    <w:p>
      <w:pPr>
        <w:widowControl/>
        <w:jc w:val="center"/>
        <w:rPr>
          <w:rFonts w:ascii="Times New Roman" w:hAnsi="Times New Roman" w:eastAsia="仿宋_GB2312" w:cs="Times New Roman"/>
          <w:color w:val="FF0000"/>
          <w:kern w:val="0"/>
          <w:sz w:val="32"/>
          <w:szCs w:val="32"/>
        </w:rPr>
      </w:pPr>
      <w:r>
        <w:rPr>
          <w:rFonts w:ascii="Times New Roman" w:hAnsi="Times New Roman" w:cs="Times New Roman"/>
        </w:rPr>
        <w:drawing>
          <wp:inline distT="0" distB="0" distL="0" distR="0">
            <wp:extent cx="5549900" cy="2947035"/>
            <wp:effectExtent l="0" t="0" r="12700" b="5715"/>
            <wp:docPr id="27" name="图片 27" descr="桌子上放满了不同类型的唱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桌子上放满了不同类型的唱片&#10;&#10;低可信度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r="1865" b="21805"/>
                    <a:stretch>
                      <a:fillRect/>
                    </a:stretch>
                  </pic:blipFill>
                  <pic:spPr>
                    <a:xfrm>
                      <a:off x="0" y="0"/>
                      <a:ext cx="5568296" cy="2956901"/>
                    </a:xfrm>
                    <a:prstGeom prst="rect">
                      <a:avLst/>
                    </a:prstGeom>
                    <a:noFill/>
                    <a:ln>
                      <a:noFill/>
                    </a:ln>
                  </pic:spPr>
                </pic:pic>
              </a:graphicData>
            </a:graphic>
          </wp:inline>
        </w:drawing>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将红色党史教育与防范金融风险教育相结合</w:t>
      </w:r>
      <w:r>
        <w:rPr>
          <w:rFonts w:hint="eastAsia" w:ascii="Times New Roman" w:hAnsi="Times New Roman" w:eastAsia="仿宋_GB2312" w:cs="Times New Roman"/>
          <w:sz w:val="32"/>
          <w:szCs w:val="32"/>
        </w:rPr>
        <w:t>，激励学生青年牢记党的宗旨，坚定理想信念，提升风险防范意识和金融素养</w:t>
      </w:r>
      <w:r>
        <w:rPr>
          <w:rFonts w:ascii="Times New Roman" w:hAnsi="Times New Roman" w:eastAsia="仿宋_GB2312" w:cs="Times New Roman"/>
          <w:sz w:val="32"/>
          <w:szCs w:val="32"/>
        </w:rPr>
        <w:t>。</w:t>
      </w:r>
      <w:r>
        <w:rPr>
          <w:rFonts w:hint="eastAsia" w:ascii="仿宋_GB2312" w:hAnsi="仿宋" w:eastAsia="仿宋_GB2312" w:cs="仿宋"/>
          <w:sz w:val="32"/>
          <w:szCs w:val="32"/>
        </w:rPr>
        <w:t>结合建党100周年，联合共青团安徽省委面向全省122所高校大学生举办</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华安证券杯</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安徽省大学生金融知识大赛</w:t>
      </w:r>
      <w:r>
        <w:rPr>
          <w:rFonts w:hint="eastAsia" w:ascii="仿宋_GB2312" w:hAnsi="仿宋" w:eastAsia="仿宋_GB2312" w:cs="仿宋"/>
          <w:sz w:val="32"/>
          <w:szCs w:val="32"/>
          <w:lang w:eastAsia="zh-CN"/>
        </w:rPr>
        <w:t>；</w:t>
      </w:r>
      <w:r>
        <w:rPr>
          <w:rFonts w:ascii="Times New Roman" w:hAnsi="Times New Roman" w:eastAsia="仿宋_GB2312" w:cs="Times New Roman"/>
          <w:sz w:val="32"/>
          <w:szCs w:val="32"/>
        </w:rPr>
        <w:t>在中国共产主义青年团成立100周年之际，</w:t>
      </w:r>
      <w:r>
        <w:rPr>
          <w:rFonts w:hint="eastAsia" w:ascii="Times New Roman" w:hAnsi="Times New Roman" w:eastAsia="仿宋_GB2312" w:cs="Times New Roman"/>
          <w:sz w:val="32"/>
          <w:szCs w:val="32"/>
          <w:lang w:val="en-US" w:eastAsia="zh-CN"/>
        </w:rPr>
        <w:t>邀请</w:t>
      </w:r>
      <w:r>
        <w:rPr>
          <w:rFonts w:hint="eastAsia" w:ascii="Times New Roman" w:hAnsi="Times New Roman" w:eastAsia="仿宋_GB2312" w:cs="Times New Roman"/>
          <w:b/>
          <w:bCs/>
          <w:sz w:val="32"/>
          <w:szCs w:val="32"/>
          <w:lang w:val="en-US" w:eastAsia="zh-CN"/>
        </w:rPr>
        <w:t>中证协作为指导支持单位</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rPr>
        <w:t>受众范围</w:t>
      </w:r>
      <w:r>
        <w:rPr>
          <w:rFonts w:hint="eastAsia" w:ascii="仿宋_GB2312" w:hAnsi="仿宋_GB2312" w:eastAsia="仿宋_GB2312" w:cs="仿宋_GB2312"/>
          <w:sz w:val="32"/>
          <w:szCs w:val="32"/>
          <w:lang w:val="en-US" w:eastAsia="zh-CN"/>
        </w:rPr>
        <w:t>拓展到</w:t>
      </w:r>
      <w:r>
        <w:rPr>
          <w:rFonts w:hint="eastAsia" w:ascii="仿宋_GB2312" w:hAnsi="仿宋_GB2312" w:eastAsia="仿宋_GB2312" w:cs="仿宋_GB2312"/>
          <w:b/>
          <w:bCs/>
          <w:sz w:val="32"/>
          <w:szCs w:val="32"/>
        </w:rPr>
        <w:t>全省393所院校</w:t>
      </w:r>
      <w:r>
        <w:rPr>
          <w:rFonts w:hint="eastAsia" w:ascii="仿宋_GB2312" w:hAnsi="仿宋_GB2312" w:eastAsia="仿宋_GB2312" w:cs="仿宋_GB2312"/>
          <w:sz w:val="32"/>
          <w:szCs w:val="32"/>
        </w:rPr>
        <w:t>。</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532120" cy="3370580"/>
            <wp:effectExtent l="0" t="0" r="11430" b="1270"/>
            <wp:docPr id="29" name="图片 29" descr="一群人在跳舞&#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一群人在跳舞&#10;&#10;中度可信度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t="2953" b="775"/>
                    <a:stretch>
                      <a:fillRect/>
                    </a:stretch>
                  </pic:blipFill>
                  <pic:spPr>
                    <a:xfrm>
                      <a:off x="0" y="0"/>
                      <a:ext cx="5532120" cy="3370580"/>
                    </a:xfrm>
                    <a:prstGeom prst="rect">
                      <a:avLst/>
                    </a:prstGeom>
                    <a:noFill/>
                    <a:ln>
                      <a:noFill/>
                    </a:ln>
                  </pic:spPr>
                </pic:pic>
              </a:graphicData>
            </a:graphic>
          </wp:inline>
        </w:drawing>
      </w:r>
    </w:p>
    <w:p>
      <w:pPr>
        <w:widowControl/>
        <w:spacing w:line="56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同步开展</w:t>
      </w:r>
      <w:r>
        <w:rPr>
          <w:rFonts w:hint="eastAsia" w:ascii="仿宋_GB2312" w:hAnsi="仿宋_GB2312" w:eastAsia="仿宋_GB2312" w:cs="仿宋_GB2312"/>
          <w:b/>
          <w:bCs/>
          <w:sz w:val="32"/>
          <w:szCs w:val="32"/>
        </w:rPr>
        <w:t>“投资者教育进高校”主题巡讲</w:t>
      </w:r>
      <w:r>
        <w:rPr>
          <w:rFonts w:ascii="Times New Roman" w:hAnsi="Times New Roman" w:eastAsia="仿宋_GB2312" w:cs="Times New Roman"/>
          <w:b/>
          <w:bCs/>
          <w:kern w:val="0"/>
          <w:sz w:val="32"/>
          <w:szCs w:val="32"/>
          <w:lang w:bidi="ar"/>
        </w:rPr>
        <w:t>活动</w:t>
      </w:r>
      <w:r>
        <w:rPr>
          <w:rFonts w:ascii="Times New Roman" w:hAnsi="Times New Roman" w:eastAsia="仿宋_GB2312" w:cs="Times New Roman"/>
          <w:kern w:val="0"/>
          <w:sz w:val="32"/>
          <w:szCs w:val="32"/>
          <w:lang w:bidi="ar"/>
        </w:rPr>
        <w:t>。</w:t>
      </w:r>
      <w:r>
        <w:rPr>
          <w:rFonts w:hint="eastAsia" w:ascii="Times New Roman" w:hAnsi="Times New Roman" w:eastAsia="仿宋_GB2312" w:cs="Times New Roman"/>
          <w:kern w:val="0"/>
          <w:sz w:val="32"/>
          <w:szCs w:val="32"/>
          <w:lang w:val="en-US" w:eastAsia="zh-CN" w:bidi="ar"/>
        </w:rPr>
        <w:t>2021年</w:t>
      </w:r>
      <w:r>
        <w:rPr>
          <w:rFonts w:ascii="Times New Roman" w:hAnsi="Times New Roman" w:eastAsia="仿宋_GB2312" w:cs="Times New Roman"/>
          <w:sz w:val="32"/>
          <w:szCs w:val="32"/>
        </w:rPr>
        <w:t>华安证券财商教育讲师团队先后走进合肥、宣城、阜阳、安庆、滁州</w:t>
      </w:r>
      <w:r>
        <w:rPr>
          <w:rFonts w:hint="eastAsia" w:ascii="仿宋_GB2312" w:hAnsi="仿宋_GB2312" w:eastAsia="仿宋_GB2312" w:cs="仿宋_GB2312"/>
          <w:sz w:val="32"/>
          <w:szCs w:val="32"/>
        </w:rPr>
        <w:t>、蚌埠、亳州等全省16个地市的80余所高校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2022年基地将继续开展安徽省大学生金融知识大赛主题巡讲活动，启动仪式已于</w:t>
      </w:r>
      <w:r>
        <w:rPr>
          <w:rFonts w:hint="eastAsia" w:ascii="仿宋_GB2312" w:hAnsi="仿宋_GB2312" w:eastAsia="仿宋_GB2312" w:cs="仿宋_GB2312"/>
          <w:b/>
          <w:bCs/>
          <w:sz w:val="32"/>
          <w:szCs w:val="32"/>
          <w:lang w:val="en-US" w:eastAsia="zh-CN"/>
        </w:rPr>
        <w:t>9月8日在阜阳师范大学正式拉开序幕</w:t>
      </w:r>
      <w:r>
        <w:rPr>
          <w:rFonts w:hint="eastAsia" w:ascii="仿宋_GB2312" w:hAnsi="仿宋_GB2312" w:eastAsia="仿宋_GB2312" w:cs="仿宋_GB2312"/>
          <w:sz w:val="32"/>
          <w:szCs w:val="32"/>
          <w:lang w:val="en-US" w:eastAsia="zh-CN"/>
        </w:rPr>
        <w:t>，线下持续进校园金融宣讲活动实现了知识体系与实践活动的合理结合，帮助金融诈骗、校园贷多发地区院校在校生不断提高防非反诈知识，铸起校园投保“长城”。</w:t>
      </w:r>
    </w:p>
    <w:p>
      <w:pPr>
        <w:widowControl/>
        <w:jc w:val="center"/>
        <w:rPr>
          <w:rFonts w:ascii="Times New Roman" w:hAnsi="Times New Roman" w:cs="Times New Roman"/>
        </w:rPr>
      </w:pPr>
      <w:r>
        <w:rPr>
          <w:rFonts w:ascii="Times New Roman" w:hAnsi="Times New Roman" w:cs="Times New Roman"/>
        </w:rPr>
        <w:drawing>
          <wp:inline distT="0" distB="0" distL="0" distR="0">
            <wp:extent cx="5620385" cy="3161665"/>
            <wp:effectExtent l="0" t="0" r="18415" b="635"/>
            <wp:docPr id="32" name="图片 32" descr="礼堂里有许多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礼堂里有许多人&#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20385" cy="3161665"/>
                    </a:xfrm>
                    <a:prstGeom prst="rect">
                      <a:avLst/>
                    </a:prstGeom>
                    <a:noFill/>
                    <a:ln>
                      <a:noFill/>
                    </a:ln>
                  </pic:spPr>
                </pic:pic>
              </a:graphicData>
            </a:graphic>
          </wp:inline>
        </w:drawing>
      </w:r>
    </w:p>
    <w:p>
      <w:pPr>
        <w:widowControl/>
        <w:spacing w:line="560" w:lineRule="exact"/>
        <w:ind w:firstLine="643" w:firstLineChars="200"/>
        <w:rPr>
          <w:rStyle w:val="4"/>
          <w:rFonts w:ascii="Times New Roman" w:hAnsi="Times New Roman" w:eastAsia="仿宋_GB2312" w:cs="Times New Roman"/>
          <w:b w:val="0"/>
          <w:color w:val="000000"/>
          <w:spacing w:val="23"/>
          <w:sz w:val="32"/>
          <w:szCs w:val="32"/>
          <w:shd w:val="clear" w:color="auto" w:fill="FFFFFF"/>
        </w:rPr>
      </w:pPr>
      <w:r>
        <w:rPr>
          <w:rFonts w:ascii="Times New Roman" w:hAnsi="Times New Roman" w:eastAsia="仿宋_GB2312" w:cs="Times New Roman"/>
          <w:b/>
          <w:bCs/>
          <w:sz w:val="32"/>
          <w:szCs w:val="32"/>
        </w:rPr>
        <w:t>大赛期间结合社会热点，打造特色精品投教产品。</w:t>
      </w:r>
      <w:r>
        <w:rPr>
          <w:rFonts w:ascii="Times New Roman" w:hAnsi="Times New Roman" w:eastAsia="仿宋_GB2312" w:cs="Times New Roman"/>
          <w:sz w:val="32"/>
          <w:szCs w:val="32"/>
        </w:rPr>
        <w:t>来自各大高校的新兴领域青年“各显神通”，发挥创作才华，涌现出“校园贷防范”主题小品、原创RAP歌曲等一批优秀防非的原创作品，</w:t>
      </w:r>
      <w:r>
        <w:rPr>
          <w:rFonts w:hint="eastAsia" w:ascii="仿宋" w:hAnsi="仿宋" w:eastAsia="仿宋"/>
          <w:sz w:val="32"/>
          <w:szCs w:val="32"/>
        </w:rPr>
        <w:t>宣传正确的消费观念和理财意识，</w:t>
      </w:r>
      <w:r>
        <w:rPr>
          <w:rFonts w:ascii="Times New Roman" w:hAnsi="Times New Roman" w:eastAsia="仿宋_GB2312" w:cs="Times New Roman"/>
          <w:sz w:val="32"/>
          <w:szCs w:val="32"/>
        </w:rPr>
        <w:t>为大赛增光添彩。</w:t>
      </w:r>
    </w:p>
    <w:p>
      <w:pPr>
        <w:widowControl/>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5490845" cy="3270250"/>
            <wp:effectExtent l="0" t="0" r="14605" b="6350"/>
            <wp:docPr id="30" name="图片 30" descr="一群人站在木桌子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一群人站在木桌子前&#10;&#10;中度可信度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t="3138" r="2254"/>
                    <a:stretch>
                      <a:fillRect/>
                    </a:stretch>
                  </pic:blipFill>
                  <pic:spPr>
                    <a:xfrm>
                      <a:off x="0" y="0"/>
                      <a:ext cx="5490845" cy="3270250"/>
                    </a:xfrm>
                    <a:prstGeom prst="rect">
                      <a:avLst/>
                    </a:prstGeom>
                    <a:noFill/>
                    <a:ln>
                      <a:noFill/>
                    </a:ln>
                  </pic:spPr>
                </pic:pic>
              </a:graphicData>
            </a:graphic>
          </wp:inline>
        </w:drawing>
      </w:r>
      <w:bookmarkStart w:id="0" w:name="_GoBack"/>
      <w:bookmarkEnd w:id="0"/>
    </w:p>
    <w:sectPr>
      <w:pgSz w:w="11906" w:h="16838"/>
      <w:pgMar w:top="2098" w:right="1474" w:bottom="198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DC1288"/>
    <w:rsid w:val="26923975"/>
    <w:rsid w:val="6BB91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2023-01-30T06:21:00Z</dcterms:created>
  <dc:creator>Administrator</dc:creator>
  <cp:lastModifiedBy>橙</cp:lastModifiedBy>
  <dcterms:modified xsi:type="dcterms:W3CDTF">2023-01-30T06:42:24Z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