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阜阳师范大学“四合一”财商课程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2021年</w:t>
      </w:r>
      <w:r>
        <w:rPr>
          <w:rFonts w:ascii="Times New Roman" w:hAnsi="Times New Roman" w:eastAsia="仿宋_GB2312" w:cs="Times New Roman"/>
          <w:sz w:val="32"/>
          <w:szCs w:val="32"/>
        </w:rPr>
        <w:t>12月24日，推进“四合一”投资者教育纳入国民教育体系签约仪式举办，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华安证券联合中国证券业协会、安徽证监局、阜阳师范大学签署《证券期货投资者教育进校园工作四方合作备忘录》</w:t>
      </w:r>
      <w:r>
        <w:rPr>
          <w:rFonts w:ascii="Times New Roman" w:hAnsi="Times New Roman" w:eastAsia="仿宋_GB2312" w:cs="Times New Roman"/>
          <w:sz w:val="32"/>
          <w:szCs w:val="32"/>
        </w:rPr>
        <w:t>，实现了“一会、一局、一司、一校”构建的投资者教育长效合作机制正式落地。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本次与阜阳师范大学的合作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创新开设公选课并纳入学分管理</w:t>
      </w:r>
      <w:r>
        <w:rPr>
          <w:rFonts w:ascii="Times New Roman" w:hAnsi="Times New Roman" w:eastAsia="仿宋_GB2312" w:cs="Times New Roman"/>
          <w:sz w:val="32"/>
          <w:szCs w:val="32"/>
        </w:rPr>
        <w:t>，实现为全校师生提供金融课程。本次选修课结合新《证券法》的施行，以证券从业资格考试材料为教材，讲授证券市场基本法律法规和金融市场基础知识两个方面内容，帮助在校学生提高专业知识水平和实战技能，正确理解和认识资本市场，推动证券期货知识纳入国民教育体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此次“四合一”财商课程的开设结合阜阳师范大学教学实践需求，有效搭建了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证券行业校企合作交流平台</w:t>
      </w:r>
      <w:r>
        <w:rPr>
          <w:rFonts w:ascii="Times New Roman" w:hAnsi="Times New Roman" w:eastAsia="仿宋_GB2312" w:cs="Times New Roman"/>
          <w:sz w:val="32"/>
          <w:szCs w:val="32"/>
        </w:rPr>
        <w:t>，也是推动行业人才储备的新举措。通过整合双方优质资源，取长补短，力争把投资者教育内容渗透到高校的理论学习、专业实习、假期社会实践、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知识竞赛</w:t>
      </w:r>
      <w:r>
        <w:rPr>
          <w:rFonts w:ascii="Times New Roman" w:hAnsi="Times New Roman" w:eastAsia="仿宋_GB2312" w:cs="Times New Roman"/>
          <w:sz w:val="32"/>
          <w:szCs w:val="32"/>
        </w:rPr>
        <w:t>等各个方面，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开发多元化证券期货知识学习资源等方面合作，</w:t>
      </w:r>
      <w:r>
        <w:rPr>
          <w:rFonts w:ascii="Times New Roman" w:hAnsi="Times New Roman" w:eastAsia="仿宋_GB2312" w:cs="Times New Roman"/>
          <w:sz w:val="32"/>
          <w:szCs w:val="32"/>
        </w:rPr>
        <w:t>增强大学生理性投资和金融行业就业能力，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为学校营造在校大学生学习证券期货投资知识的浓厚氛围。</w:t>
      </w:r>
      <w:r>
        <w:rPr>
          <w:rFonts w:ascii="Times New Roman" w:hAnsi="Times New Roman" w:eastAsia="仿宋_GB2312" w:cs="Times New Roman"/>
          <w:sz w:val="32"/>
          <w:szCs w:val="32"/>
        </w:rPr>
        <w:t>使得高校的金融教学真正满足行业和社会需求。</w:t>
      </w:r>
    </w:p>
    <w:p>
      <w:pPr>
        <w:spacing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</w:rPr>
        <w:drawing>
          <wp:inline distT="0" distB="0" distL="0" distR="0">
            <wp:extent cx="5267960" cy="2702560"/>
            <wp:effectExtent l="0" t="0" r="8890" b="2540"/>
            <wp:docPr id="25" name="图片 2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l="1511" t="17874" r="3572" b="890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542AB"/>
    <w:rsid w:val="4DB253B7"/>
    <w:rsid w:val="52E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2023-01-30T06:24:00Z</dcterms:created>
  <dc:creator>Administrator</dc:creator>
  <cp:lastModifiedBy>王京辉</cp:lastModifiedBy>
  <dcterms:modified xsi:type="dcterms:W3CDTF">2023-01-30T14:36:03Z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