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31D" w:rsidRPr="00E9331D" w:rsidRDefault="00E9331D" w:rsidP="00E9331D">
      <w:pPr>
        <w:pStyle w:val="a6"/>
        <w:rPr>
          <w:rFonts w:ascii="宋体" w:eastAsia="宋体" w:hAnsi="宋体"/>
        </w:rPr>
      </w:pPr>
      <w:r w:rsidRPr="00E9331D">
        <w:rPr>
          <w:rFonts w:ascii="宋体" w:eastAsia="宋体" w:hAnsi="宋体" w:hint="eastAsia"/>
        </w:rPr>
        <w:t>全国股转公司有关负责人就修订《全国中小企业股份转让系统投资者适当性管理细则》的答记者问</w:t>
      </w:r>
    </w:p>
    <w:p w:rsidR="00E9331D" w:rsidRDefault="00E9331D" w:rsidP="00E9331D">
      <w:pPr>
        <w:pStyle w:val="a5"/>
        <w:jc w:val="center"/>
        <w:rPr>
          <w:color w:val="auto"/>
          <w:sz w:val="32"/>
          <w:szCs w:val="32"/>
        </w:rPr>
      </w:pPr>
      <w:r w:rsidRPr="00E9331D">
        <w:rPr>
          <w:rFonts w:hint="eastAsia"/>
          <w:color w:val="auto"/>
          <w:sz w:val="32"/>
          <w:szCs w:val="32"/>
        </w:rPr>
        <w:t>来源：全国中小企业股份转让系统 日期：</w:t>
      </w:r>
      <w:r w:rsidRPr="00E9331D">
        <w:rPr>
          <w:rFonts w:hint="eastAsia"/>
          <w:color w:val="auto"/>
          <w:sz w:val="32"/>
          <w:szCs w:val="32"/>
        </w:rPr>
        <w:t>2017-06-28</w:t>
      </w:r>
    </w:p>
    <w:p w:rsidR="00E9331D" w:rsidRPr="00E9331D" w:rsidRDefault="00E9331D" w:rsidP="00E9331D">
      <w:pPr>
        <w:pStyle w:val="a5"/>
        <w:jc w:val="center"/>
        <w:rPr>
          <w:color w:val="auto"/>
          <w:sz w:val="32"/>
          <w:szCs w:val="32"/>
        </w:rPr>
      </w:pPr>
    </w:p>
    <w:p w:rsidR="00E9331D" w:rsidRPr="00E9331D" w:rsidRDefault="00E9331D" w:rsidP="00E9331D">
      <w:pPr>
        <w:pStyle w:val="a5"/>
        <w:rPr>
          <w:rFonts w:hint="eastAsia"/>
          <w:color w:val="auto"/>
          <w:sz w:val="32"/>
          <w:szCs w:val="32"/>
        </w:rPr>
      </w:pPr>
      <w:r>
        <w:rPr>
          <w:b/>
          <w:bCs/>
          <w:color w:val="auto"/>
          <w:sz w:val="32"/>
          <w:szCs w:val="32"/>
        </w:rPr>
        <w:t xml:space="preserve">    </w:t>
      </w:r>
      <w:r w:rsidRPr="00E9331D">
        <w:rPr>
          <w:rFonts w:hint="eastAsia"/>
          <w:b/>
          <w:bCs/>
          <w:color w:val="auto"/>
          <w:sz w:val="32"/>
          <w:szCs w:val="32"/>
        </w:rPr>
        <w:t>一、本次新修订《全国中小企业股份转让系统投资者适当性管理细则》（以下简称《管理细则》）的背景是什么？</w:t>
      </w:r>
    </w:p>
    <w:p w:rsidR="00E9331D" w:rsidRPr="00E9331D" w:rsidRDefault="00E9331D" w:rsidP="00E9331D">
      <w:pPr>
        <w:pStyle w:val="a5"/>
        <w:rPr>
          <w:rFonts w:hint="eastAsia"/>
          <w:color w:val="auto"/>
          <w:sz w:val="32"/>
          <w:szCs w:val="32"/>
        </w:rPr>
      </w:pPr>
      <w:r>
        <w:rPr>
          <w:b/>
          <w:bCs/>
          <w:color w:val="auto"/>
          <w:sz w:val="32"/>
          <w:szCs w:val="32"/>
        </w:rPr>
        <w:t xml:space="preserve">    </w:t>
      </w:r>
      <w:r w:rsidRPr="00E9331D">
        <w:rPr>
          <w:rFonts w:hint="eastAsia"/>
          <w:color w:val="auto"/>
          <w:sz w:val="32"/>
          <w:szCs w:val="32"/>
        </w:rPr>
        <w:t>答：2016年12月12日，中国证监会发布了《证券期货投资者适当性管理办法》（以下简称《管理办法》），并将于2017年7月1日起施行。为贯彻落实相关要求，做好与《管理办法》的衔接，全国股转公司对现行《全国中小企业股份转让系统投资者适当性管理细则（试行）》予以相应地修订或补充。</w:t>
      </w:r>
    </w:p>
    <w:p w:rsidR="00E9331D" w:rsidRPr="00E9331D" w:rsidRDefault="00E9331D" w:rsidP="00E9331D">
      <w:pPr>
        <w:pStyle w:val="a5"/>
        <w:rPr>
          <w:rFonts w:hint="eastAsia"/>
          <w:color w:val="auto"/>
          <w:sz w:val="32"/>
          <w:szCs w:val="32"/>
        </w:rPr>
      </w:pPr>
      <w:r w:rsidRPr="00E9331D">
        <w:rPr>
          <w:rFonts w:hint="eastAsia"/>
          <w:color w:val="auto"/>
          <w:sz w:val="32"/>
          <w:szCs w:val="32"/>
        </w:rPr>
        <w:t> </w:t>
      </w:r>
    </w:p>
    <w:p w:rsidR="00E9331D" w:rsidRPr="00E9331D" w:rsidRDefault="00E9331D" w:rsidP="00E9331D">
      <w:pPr>
        <w:pStyle w:val="a5"/>
        <w:rPr>
          <w:rFonts w:hint="eastAsia"/>
          <w:color w:val="auto"/>
          <w:sz w:val="32"/>
          <w:szCs w:val="32"/>
        </w:rPr>
      </w:pPr>
      <w:r>
        <w:rPr>
          <w:b/>
          <w:bCs/>
          <w:color w:val="auto"/>
          <w:sz w:val="32"/>
          <w:szCs w:val="32"/>
        </w:rPr>
        <w:t xml:space="preserve">    </w:t>
      </w:r>
      <w:r w:rsidRPr="00E9331D">
        <w:rPr>
          <w:rFonts w:hint="eastAsia"/>
          <w:b/>
          <w:bCs/>
          <w:color w:val="auto"/>
          <w:sz w:val="32"/>
          <w:szCs w:val="32"/>
        </w:rPr>
        <w:t>二、本次对自然人投资者的准入要求进行了哪些调整完善，主要考虑是什么？</w:t>
      </w:r>
    </w:p>
    <w:p w:rsidR="00E9331D" w:rsidRPr="00E9331D" w:rsidRDefault="00E9331D" w:rsidP="00E9331D">
      <w:pPr>
        <w:pStyle w:val="a5"/>
        <w:rPr>
          <w:rFonts w:hint="eastAsia"/>
          <w:color w:val="auto"/>
          <w:sz w:val="32"/>
          <w:szCs w:val="32"/>
        </w:rPr>
      </w:pPr>
      <w:r>
        <w:rPr>
          <w:b/>
          <w:bCs/>
          <w:color w:val="auto"/>
          <w:sz w:val="32"/>
          <w:szCs w:val="32"/>
        </w:rPr>
        <w:t xml:space="preserve">    </w:t>
      </w:r>
      <w:r w:rsidRPr="00E9331D">
        <w:rPr>
          <w:rFonts w:hint="eastAsia"/>
          <w:color w:val="auto"/>
          <w:sz w:val="32"/>
          <w:szCs w:val="32"/>
        </w:rPr>
        <w:t xml:space="preserve">答：新三板市场对自然人投资者准入实行多维标准。根据《管理办法》相关要求，本次对自然人投资者的准入要求主要做了以下调整完善： </w:t>
      </w:r>
    </w:p>
    <w:p w:rsidR="00E9331D" w:rsidRPr="00E9331D" w:rsidRDefault="00E9331D" w:rsidP="00E9331D">
      <w:pPr>
        <w:pStyle w:val="a5"/>
        <w:rPr>
          <w:rFonts w:hint="eastAsia"/>
          <w:color w:val="auto"/>
          <w:sz w:val="32"/>
          <w:szCs w:val="32"/>
        </w:rPr>
      </w:pPr>
      <w:r>
        <w:rPr>
          <w:b/>
          <w:bCs/>
          <w:color w:val="auto"/>
          <w:sz w:val="32"/>
          <w:szCs w:val="32"/>
        </w:rPr>
        <w:t xml:space="preserve">    </w:t>
      </w:r>
      <w:r w:rsidRPr="00E9331D">
        <w:rPr>
          <w:rFonts w:hint="eastAsia"/>
          <w:color w:val="auto"/>
          <w:sz w:val="32"/>
          <w:szCs w:val="32"/>
        </w:rPr>
        <w:t>一是根据《管理办法》第十四条要求，将自然人投资者准入资产规模的计算要求由“前一交易日日终”的时点指标修改为“最近10个转让日日均”的区间指标。</w:t>
      </w:r>
    </w:p>
    <w:p w:rsidR="00E9331D" w:rsidRPr="00E9331D" w:rsidRDefault="00E9331D" w:rsidP="00E9331D">
      <w:pPr>
        <w:pStyle w:val="a5"/>
        <w:rPr>
          <w:rFonts w:hint="eastAsia"/>
          <w:color w:val="auto"/>
          <w:sz w:val="32"/>
          <w:szCs w:val="32"/>
        </w:rPr>
      </w:pPr>
      <w:r>
        <w:rPr>
          <w:b/>
          <w:bCs/>
          <w:color w:val="auto"/>
          <w:sz w:val="32"/>
          <w:szCs w:val="32"/>
        </w:rPr>
        <w:t xml:space="preserve">    </w:t>
      </w:r>
      <w:r w:rsidRPr="00E9331D">
        <w:rPr>
          <w:rFonts w:hint="eastAsia"/>
          <w:color w:val="auto"/>
          <w:sz w:val="32"/>
          <w:szCs w:val="32"/>
        </w:rPr>
        <w:t>二是在维持“500万元”资产门槛要求不变的基础上，</w:t>
      </w:r>
      <w:r w:rsidRPr="00E9331D">
        <w:rPr>
          <w:rFonts w:hint="eastAsia"/>
          <w:color w:val="auto"/>
          <w:sz w:val="32"/>
          <w:szCs w:val="32"/>
        </w:rPr>
        <w:lastRenderedPageBreak/>
        <w:t>根据《管理办法》第八条中专业自然人投资者的资产口径，将自然人投资者准入的资产指标由“证券类资产”标准修改为“金融资产”标准。</w:t>
      </w:r>
    </w:p>
    <w:p w:rsidR="00E9331D" w:rsidRPr="00E9331D" w:rsidRDefault="00E9331D" w:rsidP="00E9331D">
      <w:pPr>
        <w:pStyle w:val="a5"/>
        <w:rPr>
          <w:rFonts w:hint="eastAsia"/>
          <w:color w:val="auto"/>
          <w:sz w:val="32"/>
          <w:szCs w:val="32"/>
        </w:rPr>
      </w:pPr>
      <w:r>
        <w:rPr>
          <w:b/>
          <w:bCs/>
          <w:color w:val="auto"/>
          <w:sz w:val="32"/>
          <w:szCs w:val="32"/>
        </w:rPr>
        <w:t xml:space="preserve">    </w:t>
      </w:r>
      <w:r w:rsidRPr="00E9331D">
        <w:rPr>
          <w:rFonts w:hint="eastAsia"/>
          <w:color w:val="auto"/>
          <w:sz w:val="32"/>
          <w:szCs w:val="32"/>
        </w:rPr>
        <w:t>三是参照《管理办法》第八条中有关专业自然人投资者的投资经历和工作经历要求，将“证券投资经验”修改为“证券、基金、期货投资经历”，将“专业背景或培训经历”修改为“金融从业经历”，以更加客观、全面地衡量投资者的投资经历和金融专业知识水平。</w:t>
      </w:r>
    </w:p>
    <w:p w:rsidR="00E9331D" w:rsidRPr="00E9331D" w:rsidRDefault="00E9331D" w:rsidP="00E9331D">
      <w:pPr>
        <w:pStyle w:val="a5"/>
        <w:rPr>
          <w:rFonts w:hint="eastAsia"/>
          <w:color w:val="auto"/>
          <w:sz w:val="32"/>
          <w:szCs w:val="32"/>
        </w:rPr>
      </w:pPr>
      <w:r w:rsidRPr="00E9331D">
        <w:rPr>
          <w:rFonts w:hint="eastAsia"/>
          <w:color w:val="auto"/>
          <w:sz w:val="32"/>
          <w:szCs w:val="32"/>
        </w:rPr>
        <w:t> </w:t>
      </w:r>
    </w:p>
    <w:p w:rsidR="00E9331D" w:rsidRPr="00E9331D" w:rsidRDefault="00E9331D" w:rsidP="00E9331D">
      <w:pPr>
        <w:pStyle w:val="a5"/>
        <w:rPr>
          <w:rFonts w:hint="eastAsia"/>
          <w:color w:val="auto"/>
          <w:sz w:val="32"/>
          <w:szCs w:val="32"/>
        </w:rPr>
      </w:pPr>
      <w:r>
        <w:rPr>
          <w:b/>
          <w:bCs/>
          <w:color w:val="auto"/>
          <w:sz w:val="32"/>
          <w:szCs w:val="32"/>
        </w:rPr>
        <w:t xml:space="preserve">    </w:t>
      </w:r>
      <w:r w:rsidRPr="00E9331D">
        <w:rPr>
          <w:rFonts w:hint="eastAsia"/>
          <w:b/>
          <w:bCs/>
          <w:color w:val="auto"/>
          <w:sz w:val="32"/>
          <w:szCs w:val="32"/>
        </w:rPr>
        <w:t>三、本次对机构投资者准入要求进行了哪些调整，主要考虑是什么？</w:t>
      </w:r>
    </w:p>
    <w:p w:rsidR="00E9331D" w:rsidRPr="00E9331D" w:rsidRDefault="00E9331D" w:rsidP="00E9331D">
      <w:pPr>
        <w:pStyle w:val="a5"/>
        <w:rPr>
          <w:rFonts w:hint="eastAsia"/>
          <w:color w:val="auto"/>
          <w:sz w:val="32"/>
          <w:szCs w:val="32"/>
        </w:rPr>
      </w:pPr>
      <w:r>
        <w:rPr>
          <w:b/>
          <w:bCs/>
          <w:color w:val="auto"/>
          <w:sz w:val="32"/>
          <w:szCs w:val="32"/>
        </w:rPr>
        <w:t xml:space="preserve">    </w:t>
      </w:r>
      <w:r w:rsidRPr="00E9331D">
        <w:rPr>
          <w:rFonts w:hint="eastAsia"/>
          <w:color w:val="auto"/>
          <w:sz w:val="32"/>
          <w:szCs w:val="32"/>
        </w:rPr>
        <w:t>答：本次将法人机构投资者的准入资产规模认定标准由“注册资本”变更为“实收资本或实收股本”，以与合伙企业准入资产规模认定标准“实缴出资”一致，确保规则的公平性。</w:t>
      </w:r>
    </w:p>
    <w:p w:rsidR="00E9331D" w:rsidRPr="00E9331D" w:rsidRDefault="00E9331D" w:rsidP="00E9331D">
      <w:pPr>
        <w:pStyle w:val="a5"/>
        <w:rPr>
          <w:rFonts w:hint="eastAsia"/>
          <w:color w:val="auto"/>
          <w:sz w:val="32"/>
          <w:szCs w:val="32"/>
        </w:rPr>
      </w:pPr>
      <w:r>
        <w:rPr>
          <w:b/>
          <w:bCs/>
          <w:color w:val="auto"/>
          <w:sz w:val="32"/>
          <w:szCs w:val="32"/>
        </w:rPr>
        <w:t xml:space="preserve">    </w:t>
      </w:r>
      <w:r w:rsidRPr="00E9331D">
        <w:rPr>
          <w:rFonts w:hint="eastAsia"/>
          <w:color w:val="auto"/>
          <w:sz w:val="32"/>
          <w:szCs w:val="32"/>
        </w:rPr>
        <w:t>主办券商在认定法人机构投资者的实收资本或实收股本，或者合伙企业的实缴出资时，应以“会计师事务所最近90日内 为其出具的验资报告或为其出具的最近一期审计报告”为准，确保认定依据的公允性和时效性。</w:t>
      </w:r>
    </w:p>
    <w:p w:rsidR="00E9331D" w:rsidRPr="00E9331D" w:rsidRDefault="00E9331D" w:rsidP="00E9331D">
      <w:pPr>
        <w:pStyle w:val="a5"/>
        <w:rPr>
          <w:rFonts w:hint="eastAsia"/>
          <w:color w:val="auto"/>
          <w:sz w:val="32"/>
          <w:szCs w:val="32"/>
        </w:rPr>
      </w:pPr>
      <w:r w:rsidRPr="00E9331D">
        <w:rPr>
          <w:rFonts w:hint="eastAsia"/>
          <w:color w:val="auto"/>
          <w:sz w:val="32"/>
          <w:szCs w:val="32"/>
        </w:rPr>
        <w:t> </w:t>
      </w:r>
    </w:p>
    <w:p w:rsidR="00E9331D" w:rsidRPr="00E9331D" w:rsidRDefault="00E9331D" w:rsidP="00E9331D">
      <w:pPr>
        <w:pStyle w:val="a5"/>
        <w:rPr>
          <w:rFonts w:hint="eastAsia"/>
          <w:color w:val="auto"/>
          <w:sz w:val="32"/>
          <w:szCs w:val="32"/>
        </w:rPr>
      </w:pPr>
      <w:r>
        <w:rPr>
          <w:b/>
          <w:bCs/>
          <w:color w:val="auto"/>
          <w:sz w:val="32"/>
          <w:szCs w:val="32"/>
        </w:rPr>
        <w:t xml:space="preserve">    </w:t>
      </w:r>
      <w:r w:rsidRPr="00E9331D">
        <w:rPr>
          <w:rFonts w:hint="eastAsia"/>
          <w:b/>
          <w:bCs/>
          <w:color w:val="auto"/>
          <w:sz w:val="32"/>
          <w:szCs w:val="32"/>
        </w:rPr>
        <w:t>四、本次对投资者适当性持续管理要求进行了怎样的细化完善？</w:t>
      </w:r>
    </w:p>
    <w:p w:rsidR="00E9331D" w:rsidRPr="00E9331D" w:rsidRDefault="00E9331D" w:rsidP="00E9331D">
      <w:pPr>
        <w:pStyle w:val="a5"/>
        <w:rPr>
          <w:rFonts w:hint="eastAsia"/>
          <w:color w:val="auto"/>
          <w:sz w:val="32"/>
          <w:szCs w:val="32"/>
        </w:rPr>
      </w:pPr>
      <w:r>
        <w:rPr>
          <w:b/>
          <w:bCs/>
          <w:color w:val="auto"/>
          <w:sz w:val="32"/>
          <w:szCs w:val="32"/>
        </w:rPr>
        <w:lastRenderedPageBreak/>
        <w:t xml:space="preserve">    </w:t>
      </w:r>
      <w:r w:rsidRPr="00E9331D">
        <w:rPr>
          <w:rFonts w:hint="eastAsia"/>
          <w:color w:val="auto"/>
          <w:sz w:val="32"/>
          <w:szCs w:val="32"/>
        </w:rPr>
        <w:t>答：投资者适当性管理是一项持续的、动态的工作。由于市场发展的连续性和风险的复杂性，为使投资者的风险承受能力与产品或服务的风险相匹配，避免投资者进行超出其风险承受能力的投资，本次修订明确主办券商自为自然人投资者开通权限之日起每12个月内至少对其进行一次持续评估，并在自然人投资者前5个</w:t>
      </w:r>
      <w:proofErr w:type="gramStart"/>
      <w:r w:rsidRPr="00E9331D">
        <w:rPr>
          <w:rFonts w:hint="eastAsia"/>
          <w:color w:val="auto"/>
          <w:sz w:val="32"/>
          <w:szCs w:val="32"/>
        </w:rPr>
        <w:t>转让日日均</w:t>
      </w:r>
      <w:proofErr w:type="gramEnd"/>
      <w:r w:rsidRPr="00E9331D">
        <w:rPr>
          <w:rFonts w:hint="eastAsia"/>
          <w:color w:val="auto"/>
          <w:sz w:val="32"/>
          <w:szCs w:val="32"/>
        </w:rPr>
        <w:t>资产低于申请开通权限时准入资产规模要求的60%时，履行特别的注意义务。</w:t>
      </w:r>
    </w:p>
    <w:p w:rsidR="00E9331D" w:rsidRPr="00E9331D" w:rsidRDefault="00E9331D" w:rsidP="00E9331D">
      <w:pPr>
        <w:pStyle w:val="a5"/>
        <w:rPr>
          <w:rFonts w:hint="eastAsia"/>
          <w:color w:val="auto"/>
          <w:sz w:val="32"/>
          <w:szCs w:val="32"/>
        </w:rPr>
      </w:pPr>
      <w:r w:rsidRPr="00E9331D">
        <w:rPr>
          <w:rFonts w:hint="eastAsia"/>
          <w:color w:val="auto"/>
          <w:sz w:val="32"/>
          <w:szCs w:val="32"/>
        </w:rPr>
        <w:t> </w:t>
      </w:r>
    </w:p>
    <w:p w:rsidR="00E9331D" w:rsidRPr="00E9331D" w:rsidRDefault="00E9331D" w:rsidP="00E9331D">
      <w:pPr>
        <w:pStyle w:val="a5"/>
        <w:rPr>
          <w:rFonts w:hint="eastAsia"/>
          <w:color w:val="auto"/>
          <w:sz w:val="32"/>
          <w:szCs w:val="32"/>
        </w:rPr>
      </w:pPr>
      <w:r>
        <w:rPr>
          <w:b/>
          <w:bCs/>
          <w:color w:val="auto"/>
          <w:sz w:val="32"/>
          <w:szCs w:val="32"/>
        </w:rPr>
        <w:t xml:space="preserve">    </w:t>
      </w:r>
      <w:r w:rsidRPr="00E9331D">
        <w:rPr>
          <w:rFonts w:hint="eastAsia"/>
          <w:b/>
          <w:bCs/>
          <w:color w:val="auto"/>
          <w:sz w:val="32"/>
          <w:szCs w:val="32"/>
        </w:rPr>
        <w:t>五、本次对主办券商投资者适当性管理信息报送及档案留痕要求有哪些完善，具体考虑是什么？</w:t>
      </w:r>
    </w:p>
    <w:p w:rsidR="00E9331D" w:rsidRPr="00E9331D" w:rsidRDefault="00E9331D" w:rsidP="00E9331D">
      <w:pPr>
        <w:pStyle w:val="a5"/>
        <w:rPr>
          <w:rFonts w:hint="eastAsia"/>
          <w:color w:val="auto"/>
          <w:sz w:val="32"/>
          <w:szCs w:val="32"/>
        </w:rPr>
      </w:pPr>
      <w:r>
        <w:rPr>
          <w:b/>
          <w:bCs/>
          <w:color w:val="auto"/>
          <w:sz w:val="32"/>
          <w:szCs w:val="32"/>
        </w:rPr>
        <w:t xml:space="preserve">    </w:t>
      </w:r>
      <w:r w:rsidRPr="00E9331D">
        <w:rPr>
          <w:rFonts w:hint="eastAsia"/>
          <w:color w:val="auto"/>
          <w:sz w:val="32"/>
          <w:szCs w:val="32"/>
        </w:rPr>
        <w:t>答：本次修订明确了主办券商应当按照要求报送投资者适当性管理相关信息，同时应妥善保存适当性管理信息资料，不得少于20年。主要考虑一是明确监管要求及预期，</w:t>
      </w:r>
      <w:proofErr w:type="gramStart"/>
      <w:r w:rsidRPr="00E9331D">
        <w:rPr>
          <w:rFonts w:hint="eastAsia"/>
          <w:color w:val="auto"/>
          <w:sz w:val="32"/>
          <w:szCs w:val="32"/>
        </w:rPr>
        <w:t>督促主办</w:t>
      </w:r>
      <w:proofErr w:type="gramEnd"/>
      <w:r w:rsidRPr="00E9331D">
        <w:rPr>
          <w:rFonts w:hint="eastAsia"/>
          <w:color w:val="auto"/>
          <w:sz w:val="32"/>
          <w:szCs w:val="32"/>
        </w:rPr>
        <w:t>券商履行适当性管理信息报送义务；二是与《办法》第三十二条有关投资者适当性管理信息资料的留痕要求保持一致，</w:t>
      </w:r>
      <w:proofErr w:type="gramStart"/>
      <w:r w:rsidRPr="00E9331D">
        <w:rPr>
          <w:rFonts w:hint="eastAsia"/>
          <w:color w:val="auto"/>
          <w:sz w:val="32"/>
          <w:szCs w:val="32"/>
        </w:rPr>
        <w:t>督促主办</w:t>
      </w:r>
      <w:proofErr w:type="gramEnd"/>
      <w:r w:rsidRPr="00E9331D">
        <w:rPr>
          <w:rFonts w:hint="eastAsia"/>
          <w:color w:val="auto"/>
          <w:sz w:val="32"/>
          <w:szCs w:val="32"/>
        </w:rPr>
        <w:t>券商加强内部留痕管理。</w:t>
      </w:r>
    </w:p>
    <w:p w:rsidR="00E9331D" w:rsidRPr="00E9331D" w:rsidRDefault="00E9331D" w:rsidP="00E9331D">
      <w:pPr>
        <w:pStyle w:val="a5"/>
        <w:rPr>
          <w:rFonts w:hint="eastAsia"/>
          <w:color w:val="auto"/>
          <w:sz w:val="32"/>
          <w:szCs w:val="32"/>
        </w:rPr>
      </w:pPr>
      <w:r w:rsidRPr="00E9331D">
        <w:rPr>
          <w:rFonts w:hint="eastAsia"/>
          <w:color w:val="auto"/>
          <w:sz w:val="32"/>
          <w:szCs w:val="32"/>
        </w:rPr>
        <w:t> </w:t>
      </w:r>
    </w:p>
    <w:p w:rsidR="00E9331D" w:rsidRPr="00E9331D" w:rsidRDefault="00E9331D" w:rsidP="00E9331D">
      <w:pPr>
        <w:pStyle w:val="a5"/>
        <w:rPr>
          <w:rFonts w:hint="eastAsia"/>
          <w:color w:val="auto"/>
          <w:sz w:val="32"/>
          <w:szCs w:val="32"/>
        </w:rPr>
      </w:pPr>
      <w:r>
        <w:rPr>
          <w:b/>
          <w:bCs/>
          <w:color w:val="auto"/>
          <w:sz w:val="32"/>
          <w:szCs w:val="32"/>
        </w:rPr>
        <w:t xml:space="preserve">    </w:t>
      </w:r>
      <w:r w:rsidRPr="00E9331D">
        <w:rPr>
          <w:rFonts w:hint="eastAsia"/>
          <w:b/>
          <w:bCs/>
          <w:color w:val="auto"/>
          <w:sz w:val="32"/>
          <w:szCs w:val="32"/>
        </w:rPr>
        <w:t>六、本次修订《管理细则》对现有投资者参与新三板有何影响？</w:t>
      </w:r>
    </w:p>
    <w:p w:rsidR="00CB732A" w:rsidRPr="00E9331D" w:rsidRDefault="00E9331D" w:rsidP="00E9331D">
      <w:pPr>
        <w:pStyle w:val="a5"/>
        <w:rPr>
          <w:color w:val="auto"/>
          <w:sz w:val="32"/>
          <w:szCs w:val="32"/>
        </w:rPr>
      </w:pPr>
      <w:r>
        <w:rPr>
          <w:b/>
          <w:bCs/>
          <w:color w:val="auto"/>
          <w:sz w:val="32"/>
          <w:szCs w:val="32"/>
        </w:rPr>
        <w:t xml:space="preserve">    </w:t>
      </w:r>
      <w:r w:rsidRPr="00E9331D">
        <w:rPr>
          <w:rFonts w:hint="eastAsia"/>
          <w:color w:val="auto"/>
          <w:sz w:val="32"/>
          <w:szCs w:val="32"/>
        </w:rPr>
        <w:t>根据《管理办法》等规则的实施要求，2017年7月1日前已开通新三板交易权限的投资者，可继续参与挂牌公司股票交易。</w:t>
      </w:r>
      <w:bookmarkStart w:id="0" w:name="_GoBack"/>
      <w:bookmarkEnd w:id="0"/>
    </w:p>
    <w:sectPr w:rsidR="00CB732A" w:rsidRPr="00E9331D" w:rsidSect="00A044C5">
      <w:pgSz w:w="11906" w:h="16838"/>
      <w:pgMar w:top="1440" w:right="1797" w:bottom="1440" w:left="1797"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31D"/>
    <w:rsid w:val="00A044C5"/>
    <w:rsid w:val="00CB732A"/>
    <w:rsid w:val="00E93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D5915"/>
  <w15:chartTrackingRefBased/>
  <w15:docId w15:val="{F53FD631-9167-41BA-8DAB-46005BAD9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theme="minorBidi"/>
        <w:color w:val="000000" w:themeColor="text1"/>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9331D"/>
    <w:pPr>
      <w:widowControl/>
      <w:jc w:val="left"/>
    </w:pPr>
    <w:rPr>
      <w:rFonts w:cs="宋体"/>
      <w:color w:val="auto"/>
      <w:kern w:val="0"/>
      <w:sz w:val="24"/>
      <w:szCs w:val="24"/>
    </w:rPr>
  </w:style>
  <w:style w:type="character" w:styleId="a4">
    <w:name w:val="Strong"/>
    <w:basedOn w:val="a0"/>
    <w:uiPriority w:val="22"/>
    <w:qFormat/>
    <w:rsid w:val="00E9331D"/>
    <w:rPr>
      <w:b/>
      <w:bCs/>
    </w:rPr>
  </w:style>
  <w:style w:type="paragraph" w:styleId="a5">
    <w:name w:val="No Spacing"/>
    <w:uiPriority w:val="1"/>
    <w:qFormat/>
    <w:rsid w:val="00E9331D"/>
    <w:pPr>
      <w:widowControl w:val="0"/>
      <w:jc w:val="both"/>
    </w:pPr>
  </w:style>
  <w:style w:type="paragraph" w:styleId="a6">
    <w:name w:val="Title"/>
    <w:basedOn w:val="a"/>
    <w:next w:val="a"/>
    <w:link w:val="a7"/>
    <w:uiPriority w:val="10"/>
    <w:qFormat/>
    <w:rsid w:val="00E9331D"/>
    <w:pPr>
      <w:spacing w:before="240" w:after="60"/>
      <w:jc w:val="center"/>
      <w:outlineLvl w:val="0"/>
    </w:pPr>
    <w:rPr>
      <w:rFonts w:asciiTheme="majorHAnsi" w:eastAsiaTheme="majorEastAsia" w:hAnsiTheme="majorHAnsi" w:cstheme="majorBidi"/>
      <w:b/>
      <w:bCs/>
      <w:sz w:val="32"/>
      <w:szCs w:val="32"/>
    </w:rPr>
  </w:style>
  <w:style w:type="character" w:customStyle="1" w:styleId="a7">
    <w:name w:val="标题 字符"/>
    <w:basedOn w:val="a0"/>
    <w:link w:val="a6"/>
    <w:uiPriority w:val="10"/>
    <w:rsid w:val="00E9331D"/>
    <w:rPr>
      <w:rFonts w:asciiTheme="majorHAnsi" w:eastAsiaTheme="majorEastAsia" w:hAnsiTheme="majorHAnsi" w:cstheme="majorBidi"/>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3958767">
      <w:bodyDiv w:val="1"/>
      <w:marLeft w:val="0"/>
      <w:marRight w:val="0"/>
      <w:marTop w:val="0"/>
      <w:marBottom w:val="0"/>
      <w:divBdr>
        <w:top w:val="none" w:sz="0" w:space="0" w:color="auto"/>
        <w:left w:val="none" w:sz="0" w:space="0" w:color="auto"/>
        <w:bottom w:val="none" w:sz="0" w:space="0" w:color="auto"/>
        <w:right w:val="none" w:sz="0" w:space="0" w:color="auto"/>
      </w:divBdr>
      <w:divsChild>
        <w:div w:id="1467360553">
          <w:marLeft w:val="0"/>
          <w:marRight w:val="0"/>
          <w:marTop w:val="3300"/>
          <w:marBottom w:val="0"/>
          <w:divBdr>
            <w:top w:val="none" w:sz="0" w:space="0" w:color="auto"/>
            <w:left w:val="none" w:sz="0" w:space="0" w:color="auto"/>
            <w:bottom w:val="none" w:sz="0" w:space="0" w:color="auto"/>
            <w:right w:val="none" w:sz="0" w:space="0" w:color="auto"/>
          </w:divBdr>
          <w:divsChild>
            <w:div w:id="757825447">
              <w:marLeft w:val="0"/>
              <w:marRight w:val="0"/>
              <w:marTop w:val="0"/>
              <w:marBottom w:val="0"/>
              <w:divBdr>
                <w:top w:val="none" w:sz="0" w:space="0" w:color="auto"/>
                <w:left w:val="none" w:sz="0" w:space="0" w:color="auto"/>
                <w:bottom w:val="none" w:sz="0" w:space="0" w:color="auto"/>
                <w:right w:val="none" w:sz="0" w:space="0" w:color="auto"/>
              </w:divBdr>
              <w:divsChild>
                <w:div w:id="60511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210</Words>
  <Characters>1200</Characters>
  <Application>Microsoft Office Word</Application>
  <DocSecurity>0</DocSecurity>
  <Lines>10</Lines>
  <Paragraphs>2</Paragraphs>
  <ScaleCrop>false</ScaleCrop>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 YingTung</dc:creator>
  <cp:keywords/>
  <dc:description/>
  <cp:lastModifiedBy>Lau YingTung</cp:lastModifiedBy>
  <cp:revision>1</cp:revision>
  <dcterms:created xsi:type="dcterms:W3CDTF">2017-08-07T06:37:00Z</dcterms:created>
  <dcterms:modified xsi:type="dcterms:W3CDTF">2017-08-07T06:46:00Z</dcterms:modified>
</cp:coreProperties>
</file>