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1D" w:rsidRPr="00E9331D" w:rsidRDefault="00E9331D" w:rsidP="00E9331D">
      <w:pPr>
        <w:pStyle w:val="a6"/>
        <w:rPr>
          <w:rFonts w:ascii="宋体" w:eastAsia="宋体" w:hAnsi="宋体"/>
        </w:rPr>
      </w:pPr>
      <w:r w:rsidRPr="00E9331D">
        <w:rPr>
          <w:rFonts w:ascii="宋体" w:eastAsia="宋体" w:hAnsi="宋体" w:hint="eastAsia"/>
        </w:rPr>
        <w:t>全国股转公司有关负责人就修订《全国中小企业股份转让系统投资者适当性管理细则》的答记者问</w:t>
      </w:r>
    </w:p>
    <w:p w:rsidR="00E9331D" w:rsidRDefault="00E9331D" w:rsidP="00E9331D">
      <w:pPr>
        <w:pStyle w:val="a5"/>
        <w:jc w:val="center"/>
        <w:rPr>
          <w:color w:val="auto"/>
          <w:sz w:val="32"/>
          <w:szCs w:val="32"/>
        </w:rPr>
      </w:pPr>
      <w:r w:rsidRPr="00E9331D">
        <w:rPr>
          <w:rFonts w:hint="eastAsia"/>
          <w:color w:val="auto"/>
          <w:sz w:val="32"/>
          <w:szCs w:val="32"/>
        </w:rPr>
        <w:t>来源：全国中小企业股份转让系统 日期：</w:t>
      </w:r>
      <w:r w:rsidRPr="00E9331D">
        <w:rPr>
          <w:rFonts w:hint="eastAsia"/>
          <w:color w:val="auto"/>
          <w:sz w:val="32"/>
          <w:szCs w:val="32"/>
        </w:rPr>
        <w:t>2017-06-28</w:t>
      </w:r>
    </w:p>
    <w:p w:rsidR="00E9331D" w:rsidRPr="00E9331D" w:rsidRDefault="00E9331D" w:rsidP="00E9331D">
      <w:pPr>
        <w:pStyle w:val="a5"/>
        <w:jc w:val="center"/>
        <w:rPr>
          <w:color w:val="auto"/>
          <w:sz w:val="32"/>
          <w:szCs w:val="32"/>
        </w:rPr>
      </w:pP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b/>
          <w:bCs/>
          <w:color w:val="auto"/>
          <w:sz w:val="32"/>
          <w:szCs w:val="32"/>
        </w:rPr>
        <w:t>一、本次新修订《全国中小企业股份转让系统投资者适当性管理细则》（以下简称《管理细则》）的背景是什么？</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答：2016年12月12日，中国证监会发布了《证券期货投资者适当性管理办法》（以下简称《管理办法》），并将于2017年7月1日起施行。为贯彻落实相关要求，做好与《管理办法》的衔接，全国股转公司对现行《全国中小企业股份转让系统投资者适当性管理细则（试行）》予以相应地修订或补充。</w:t>
      </w:r>
    </w:p>
    <w:p w:rsidR="00E9331D" w:rsidRPr="00E9331D" w:rsidRDefault="00E9331D" w:rsidP="00E9331D">
      <w:pPr>
        <w:pStyle w:val="a5"/>
        <w:rPr>
          <w:rFonts w:hint="eastAsia"/>
          <w:color w:val="auto"/>
          <w:sz w:val="32"/>
          <w:szCs w:val="32"/>
        </w:rPr>
      </w:pPr>
      <w:r w:rsidRPr="00E9331D">
        <w:rPr>
          <w:rFonts w:hint="eastAsia"/>
          <w:color w:val="auto"/>
          <w:sz w:val="32"/>
          <w:szCs w:val="32"/>
        </w:rPr>
        <w:t> </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b/>
          <w:bCs/>
          <w:color w:val="auto"/>
          <w:sz w:val="32"/>
          <w:szCs w:val="32"/>
        </w:rPr>
        <w:t>二、本次对自然人投资者的准入要求进行了哪些调整完善，主要考虑是什么？</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 xml:space="preserve">答：新三板市场对自然人投资者准入实行多维标准。根据《管理办法》相关要求，本次对自然人投资者的准入要求主要做了以下调整完善： </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一是根据《管理办法》第十四条要求，将自然人投资者准入资产规模的计算要求由“前一交易日日终”的时点指标修改为“最近10个转让日日均”的区间指标。</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二是在维持“500万元”资产门槛要求不变的基础上，</w:t>
      </w:r>
      <w:r w:rsidRPr="00E9331D">
        <w:rPr>
          <w:rFonts w:hint="eastAsia"/>
          <w:color w:val="auto"/>
          <w:sz w:val="32"/>
          <w:szCs w:val="32"/>
        </w:rPr>
        <w:lastRenderedPageBreak/>
        <w:t>根据《管理办法》第八条中专业自然人投资者的资产口径，将自然人投资者准入的资产指标由“证券类资产”标准修改为“金融资产”标准。</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三是参照《管理办法》第八条中有关专业自然人投资者的投资经历和工作经历要求，将“证券投资经验”修改为“证券、基金、期货投资经历”，将“专业背景或培训经历”修改为“金融从业经历”，以更加客观、全面地衡量投资者的投资经历和金融专业知识水平。</w:t>
      </w:r>
    </w:p>
    <w:p w:rsidR="00E9331D" w:rsidRPr="00E9331D" w:rsidRDefault="00E9331D" w:rsidP="00E9331D">
      <w:pPr>
        <w:pStyle w:val="a5"/>
        <w:rPr>
          <w:rFonts w:hint="eastAsia"/>
          <w:color w:val="auto"/>
          <w:sz w:val="32"/>
          <w:szCs w:val="32"/>
        </w:rPr>
      </w:pPr>
      <w:r w:rsidRPr="00E9331D">
        <w:rPr>
          <w:rFonts w:hint="eastAsia"/>
          <w:color w:val="auto"/>
          <w:sz w:val="32"/>
          <w:szCs w:val="32"/>
        </w:rPr>
        <w:t> </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b/>
          <w:bCs/>
          <w:color w:val="auto"/>
          <w:sz w:val="32"/>
          <w:szCs w:val="32"/>
        </w:rPr>
        <w:t>三、本次对机构投资者准入要求进行了哪些调整，主要考虑是什么？</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答：本次将法人机构投资者的准入资产规模认定标准由“注册资本”变更为“实收资本或实收股本”，以与合伙企业准入资产规模认定标准“实缴出资”一致，确保规则的公平性。</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主办券商在认定法人机构投资者的实收资本或实收股本，或者合伙企业的实缴出资时，应以“会计师事务所最近90日内 为其出具的验资报告或为其出具的最近一期审计报告”为准，确保认定依据的公允性和时效性。</w:t>
      </w:r>
    </w:p>
    <w:p w:rsidR="00E9331D" w:rsidRPr="00E9331D" w:rsidRDefault="00E9331D" w:rsidP="00E9331D">
      <w:pPr>
        <w:pStyle w:val="a5"/>
        <w:rPr>
          <w:rFonts w:hint="eastAsia"/>
          <w:color w:val="auto"/>
          <w:sz w:val="32"/>
          <w:szCs w:val="32"/>
        </w:rPr>
      </w:pPr>
      <w:r w:rsidRPr="00E9331D">
        <w:rPr>
          <w:rFonts w:hint="eastAsia"/>
          <w:color w:val="auto"/>
          <w:sz w:val="32"/>
          <w:szCs w:val="32"/>
        </w:rPr>
        <w:t> </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b/>
          <w:bCs/>
          <w:color w:val="auto"/>
          <w:sz w:val="32"/>
          <w:szCs w:val="32"/>
        </w:rPr>
        <w:t>四、本次对投资者适当性持续管理要求进行了怎样的细化完善？</w:t>
      </w:r>
    </w:p>
    <w:p w:rsidR="00E9331D" w:rsidRPr="00E9331D" w:rsidRDefault="00E9331D" w:rsidP="00E9331D">
      <w:pPr>
        <w:pStyle w:val="a5"/>
        <w:rPr>
          <w:rFonts w:hint="eastAsia"/>
          <w:color w:val="auto"/>
          <w:sz w:val="32"/>
          <w:szCs w:val="32"/>
        </w:rPr>
      </w:pPr>
      <w:r>
        <w:rPr>
          <w:b/>
          <w:bCs/>
          <w:color w:val="auto"/>
          <w:sz w:val="32"/>
          <w:szCs w:val="32"/>
        </w:rPr>
        <w:lastRenderedPageBreak/>
        <w:t xml:space="preserve">    </w:t>
      </w:r>
      <w:r w:rsidRPr="00E9331D">
        <w:rPr>
          <w:rFonts w:hint="eastAsia"/>
          <w:color w:val="auto"/>
          <w:sz w:val="32"/>
          <w:szCs w:val="32"/>
        </w:rPr>
        <w:t>答：投资者适当性管理是一项持续的、动态的工作。由于市场发展的连续性和风险的复杂性，为使投资者的风险承受能力与产品或服务的风险相匹配，避免投资者进行超出其风险承受能力的投资，本次修订明确主办券商自为自然人投资者开通权限之日起每12个月内至少对其进行一次持续评估，并在自然人投资者前5个</w:t>
      </w:r>
      <w:proofErr w:type="gramStart"/>
      <w:r w:rsidRPr="00E9331D">
        <w:rPr>
          <w:rFonts w:hint="eastAsia"/>
          <w:color w:val="auto"/>
          <w:sz w:val="32"/>
          <w:szCs w:val="32"/>
        </w:rPr>
        <w:t>转让日日均</w:t>
      </w:r>
      <w:proofErr w:type="gramEnd"/>
      <w:r w:rsidRPr="00E9331D">
        <w:rPr>
          <w:rFonts w:hint="eastAsia"/>
          <w:color w:val="auto"/>
          <w:sz w:val="32"/>
          <w:szCs w:val="32"/>
        </w:rPr>
        <w:t>资产低于申请开通权限时准入资产规模要求的60%时，履行特别的注意义务。</w:t>
      </w:r>
    </w:p>
    <w:p w:rsidR="00E9331D" w:rsidRPr="00E9331D" w:rsidRDefault="00E9331D" w:rsidP="00E9331D">
      <w:pPr>
        <w:pStyle w:val="a5"/>
        <w:rPr>
          <w:rFonts w:hint="eastAsia"/>
          <w:color w:val="auto"/>
          <w:sz w:val="32"/>
          <w:szCs w:val="32"/>
        </w:rPr>
      </w:pPr>
      <w:r w:rsidRPr="00E9331D">
        <w:rPr>
          <w:rFonts w:hint="eastAsia"/>
          <w:color w:val="auto"/>
          <w:sz w:val="32"/>
          <w:szCs w:val="32"/>
        </w:rPr>
        <w:t> </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b/>
          <w:bCs/>
          <w:color w:val="auto"/>
          <w:sz w:val="32"/>
          <w:szCs w:val="32"/>
        </w:rPr>
        <w:t>五、本次对主办券商投资者适当性管理信息报送及档案留痕要求有哪些完善，具体考虑是什么？</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color w:val="auto"/>
          <w:sz w:val="32"/>
          <w:szCs w:val="32"/>
        </w:rPr>
        <w:t>答：本次修订明确了主办券商应当按照要求报送投资者适当性管理相关信息，同时应妥善保存适当性管理信息资料，不得少于20年。主要考虑一是明确监管要求及预期，</w:t>
      </w:r>
      <w:proofErr w:type="gramStart"/>
      <w:r w:rsidRPr="00E9331D">
        <w:rPr>
          <w:rFonts w:hint="eastAsia"/>
          <w:color w:val="auto"/>
          <w:sz w:val="32"/>
          <w:szCs w:val="32"/>
        </w:rPr>
        <w:t>督促主办</w:t>
      </w:r>
      <w:proofErr w:type="gramEnd"/>
      <w:r w:rsidRPr="00E9331D">
        <w:rPr>
          <w:rFonts w:hint="eastAsia"/>
          <w:color w:val="auto"/>
          <w:sz w:val="32"/>
          <w:szCs w:val="32"/>
        </w:rPr>
        <w:t>券商履行适当性管理信息报送义务；二是与《办法》第三十二条有关投资者适当性管理信息资料的留痕要求保持一致，</w:t>
      </w:r>
      <w:proofErr w:type="gramStart"/>
      <w:r w:rsidRPr="00E9331D">
        <w:rPr>
          <w:rFonts w:hint="eastAsia"/>
          <w:color w:val="auto"/>
          <w:sz w:val="32"/>
          <w:szCs w:val="32"/>
        </w:rPr>
        <w:t>督促主办</w:t>
      </w:r>
      <w:proofErr w:type="gramEnd"/>
      <w:r w:rsidRPr="00E9331D">
        <w:rPr>
          <w:rFonts w:hint="eastAsia"/>
          <w:color w:val="auto"/>
          <w:sz w:val="32"/>
          <w:szCs w:val="32"/>
        </w:rPr>
        <w:t>券商加强内部留痕管理。</w:t>
      </w:r>
    </w:p>
    <w:p w:rsidR="00E9331D" w:rsidRPr="00E9331D" w:rsidRDefault="00E9331D" w:rsidP="00E9331D">
      <w:pPr>
        <w:pStyle w:val="a5"/>
        <w:rPr>
          <w:rFonts w:hint="eastAsia"/>
          <w:color w:val="auto"/>
          <w:sz w:val="32"/>
          <w:szCs w:val="32"/>
        </w:rPr>
      </w:pPr>
      <w:r w:rsidRPr="00E9331D">
        <w:rPr>
          <w:rFonts w:hint="eastAsia"/>
          <w:color w:val="auto"/>
          <w:sz w:val="32"/>
          <w:szCs w:val="32"/>
        </w:rPr>
        <w:t> </w:t>
      </w:r>
    </w:p>
    <w:p w:rsidR="00E9331D" w:rsidRPr="00E9331D" w:rsidRDefault="00E9331D" w:rsidP="00E9331D">
      <w:pPr>
        <w:pStyle w:val="a5"/>
        <w:rPr>
          <w:rFonts w:hint="eastAsia"/>
          <w:color w:val="auto"/>
          <w:sz w:val="32"/>
          <w:szCs w:val="32"/>
        </w:rPr>
      </w:pPr>
      <w:r>
        <w:rPr>
          <w:b/>
          <w:bCs/>
          <w:color w:val="auto"/>
          <w:sz w:val="32"/>
          <w:szCs w:val="32"/>
        </w:rPr>
        <w:t xml:space="preserve">    </w:t>
      </w:r>
      <w:r w:rsidRPr="00E9331D">
        <w:rPr>
          <w:rFonts w:hint="eastAsia"/>
          <w:b/>
          <w:bCs/>
          <w:color w:val="auto"/>
          <w:sz w:val="32"/>
          <w:szCs w:val="32"/>
        </w:rPr>
        <w:t>六、本次修订《管理细则》对现有投资者参与新三板有何影响？</w:t>
      </w:r>
    </w:p>
    <w:p w:rsidR="00CB732A" w:rsidRPr="00E9331D" w:rsidRDefault="00E9331D" w:rsidP="00E9331D">
      <w:pPr>
        <w:pStyle w:val="a5"/>
        <w:rPr>
          <w:color w:val="auto"/>
          <w:sz w:val="32"/>
          <w:szCs w:val="32"/>
        </w:rPr>
      </w:pPr>
      <w:r>
        <w:rPr>
          <w:b/>
          <w:bCs/>
          <w:color w:val="auto"/>
          <w:sz w:val="32"/>
          <w:szCs w:val="32"/>
        </w:rPr>
        <w:t xml:space="preserve">    </w:t>
      </w:r>
      <w:r w:rsidRPr="00E9331D">
        <w:rPr>
          <w:rFonts w:hint="eastAsia"/>
          <w:color w:val="auto"/>
          <w:sz w:val="32"/>
          <w:szCs w:val="32"/>
        </w:rPr>
        <w:t>根据《管理办法》等规则的实施要求，2017年7月1日前已开通新三板交易权限的投资者，可继续参与挂牌公司股票交易。</w:t>
      </w:r>
      <w:bookmarkStart w:id="0" w:name="_GoBack"/>
      <w:bookmarkEnd w:id="0"/>
    </w:p>
    <w:sectPr w:rsidR="00CB732A" w:rsidRPr="00E9331D" w:rsidSect="00A044C5">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1D"/>
    <w:rsid w:val="00A044C5"/>
    <w:rsid w:val="00CB732A"/>
    <w:rsid w:val="00E93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5915"/>
  <w15:chartTrackingRefBased/>
  <w15:docId w15:val="{F53FD631-9167-41BA-8DAB-46005BAD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color w:val="000000" w:themeColor="text1"/>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31D"/>
    <w:pPr>
      <w:widowControl/>
      <w:jc w:val="left"/>
    </w:pPr>
    <w:rPr>
      <w:rFonts w:cs="宋体"/>
      <w:color w:val="auto"/>
      <w:kern w:val="0"/>
      <w:sz w:val="24"/>
      <w:szCs w:val="24"/>
    </w:rPr>
  </w:style>
  <w:style w:type="character" w:styleId="a4">
    <w:name w:val="Strong"/>
    <w:basedOn w:val="a0"/>
    <w:uiPriority w:val="22"/>
    <w:qFormat/>
    <w:rsid w:val="00E9331D"/>
    <w:rPr>
      <w:b/>
      <w:bCs/>
    </w:rPr>
  </w:style>
  <w:style w:type="paragraph" w:styleId="a5">
    <w:name w:val="No Spacing"/>
    <w:uiPriority w:val="1"/>
    <w:qFormat/>
    <w:rsid w:val="00E9331D"/>
    <w:pPr>
      <w:widowControl w:val="0"/>
      <w:jc w:val="both"/>
    </w:pPr>
  </w:style>
  <w:style w:type="paragraph" w:styleId="a6">
    <w:name w:val="Title"/>
    <w:basedOn w:val="a"/>
    <w:next w:val="a"/>
    <w:link w:val="a7"/>
    <w:uiPriority w:val="10"/>
    <w:qFormat/>
    <w:rsid w:val="00E9331D"/>
    <w:pPr>
      <w:spacing w:before="240" w:after="60"/>
      <w:jc w:val="center"/>
      <w:outlineLvl w:val="0"/>
    </w:pPr>
    <w:rPr>
      <w:rFonts w:asciiTheme="majorHAnsi" w:eastAsiaTheme="majorEastAsia" w:hAnsiTheme="majorHAnsi" w:cstheme="majorBidi"/>
      <w:b/>
      <w:bCs/>
      <w:sz w:val="32"/>
      <w:szCs w:val="32"/>
    </w:rPr>
  </w:style>
  <w:style w:type="character" w:customStyle="1" w:styleId="a7">
    <w:name w:val="标题 字符"/>
    <w:basedOn w:val="a0"/>
    <w:link w:val="a6"/>
    <w:uiPriority w:val="10"/>
    <w:rsid w:val="00E9331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8767">
      <w:bodyDiv w:val="1"/>
      <w:marLeft w:val="0"/>
      <w:marRight w:val="0"/>
      <w:marTop w:val="0"/>
      <w:marBottom w:val="0"/>
      <w:divBdr>
        <w:top w:val="none" w:sz="0" w:space="0" w:color="auto"/>
        <w:left w:val="none" w:sz="0" w:space="0" w:color="auto"/>
        <w:bottom w:val="none" w:sz="0" w:space="0" w:color="auto"/>
        <w:right w:val="none" w:sz="0" w:space="0" w:color="auto"/>
      </w:divBdr>
      <w:divsChild>
        <w:div w:id="1467360553">
          <w:marLeft w:val="0"/>
          <w:marRight w:val="0"/>
          <w:marTop w:val="3300"/>
          <w:marBottom w:val="0"/>
          <w:divBdr>
            <w:top w:val="none" w:sz="0" w:space="0" w:color="auto"/>
            <w:left w:val="none" w:sz="0" w:space="0" w:color="auto"/>
            <w:bottom w:val="none" w:sz="0" w:space="0" w:color="auto"/>
            <w:right w:val="none" w:sz="0" w:space="0" w:color="auto"/>
          </w:divBdr>
          <w:divsChild>
            <w:div w:id="757825447">
              <w:marLeft w:val="0"/>
              <w:marRight w:val="0"/>
              <w:marTop w:val="0"/>
              <w:marBottom w:val="0"/>
              <w:divBdr>
                <w:top w:val="none" w:sz="0" w:space="0" w:color="auto"/>
                <w:left w:val="none" w:sz="0" w:space="0" w:color="auto"/>
                <w:bottom w:val="none" w:sz="0" w:space="0" w:color="auto"/>
                <w:right w:val="none" w:sz="0" w:space="0" w:color="auto"/>
              </w:divBdr>
              <w:divsChild>
                <w:div w:id="605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YingTung</dc:creator>
  <cp:keywords/>
  <dc:description/>
  <cp:lastModifiedBy>Lau YingTung</cp:lastModifiedBy>
  <cp:revision>1</cp:revision>
  <dcterms:created xsi:type="dcterms:W3CDTF">2017-08-07T06:37:00Z</dcterms:created>
  <dcterms:modified xsi:type="dcterms:W3CDTF">2017-08-07T06:46:00Z</dcterms:modified>
</cp:coreProperties>
</file>